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E7413" w14:textId="3DC896ED" w:rsidR="00DF5764" w:rsidRPr="00DF5764" w:rsidRDefault="00DF5764" w:rsidP="00DF576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#123</w:t>
      </w:r>
      <w:r w:rsidR="00F235F1">
        <w:rPr>
          <w:rFonts w:ascii="Times New Roman" w:eastAsia="SimSun" w:hAnsi="Times New Roman" w:cs="Times New Roman"/>
          <w:b/>
          <w:noProof/>
          <w:sz w:val="24"/>
          <w:szCs w:val="20"/>
          <w:lang w:eastAsia="zh-CN"/>
        </w:rPr>
        <w:t>bis</w:t>
      </w:r>
      <w:r w:rsidRPr="00DF5764">
        <w:rPr>
          <w:rFonts w:ascii="Times New Roman" w:eastAsia="SimSun" w:hAnsi="Times New Roman" w:cs="Times New Roman"/>
          <w:b/>
          <w:noProof/>
          <w:sz w:val="24"/>
          <w:szCs w:val="20"/>
          <w:lang w:eastAsia="zh-CN"/>
        </w:rPr>
        <w:tab/>
        <w:t>R2-</w:t>
      </w:r>
      <w:r w:rsidR="00784D65">
        <w:rPr>
          <w:rFonts w:ascii="Times New Roman" w:eastAsia="SimSun" w:hAnsi="Times New Roman" w:cs="Times New Roman"/>
          <w:b/>
          <w:noProof/>
          <w:sz w:val="24"/>
          <w:szCs w:val="20"/>
          <w:lang w:eastAsia="zh-CN"/>
        </w:rPr>
        <w:t>230</w:t>
      </w:r>
      <w:r w:rsidR="00E046DC">
        <w:rPr>
          <w:rFonts w:ascii="Times New Roman" w:eastAsia="SimSun" w:hAnsi="Times New Roman" w:cs="Times New Roman"/>
          <w:b/>
          <w:noProof/>
          <w:sz w:val="24"/>
          <w:szCs w:val="20"/>
          <w:lang w:eastAsia="zh-CN"/>
        </w:rPr>
        <w:t>9575</w:t>
      </w:r>
    </w:p>
    <w:p w14:paraId="6D7FEBCE" w14:textId="10B31DA0" w:rsidR="00960B44" w:rsidRPr="007022BC" w:rsidRDefault="00A6131F" w:rsidP="00DF576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A6131F">
        <w:rPr>
          <w:rFonts w:ascii="Times New Roman" w:eastAsia="SimSun" w:hAnsi="Times New Roman" w:cs="Times New Roman"/>
          <w:b/>
          <w:noProof/>
          <w:sz w:val="24"/>
          <w:szCs w:val="20"/>
          <w:lang w:eastAsia="zh-CN"/>
        </w:rPr>
        <w:t xml:space="preserve">Xiamen, China, 9th – 13th October, </w:t>
      </w:r>
      <w:r w:rsidR="00DF5764" w:rsidRPr="00DF5764">
        <w:rPr>
          <w:rFonts w:ascii="Times New Roman" w:eastAsia="SimSun" w:hAnsi="Times New Roman" w:cs="Times New Roman"/>
          <w:b/>
          <w:noProof/>
          <w:sz w:val="24"/>
          <w:szCs w:val="20"/>
          <w:lang w:eastAsia="zh-CN"/>
        </w:rPr>
        <w:t>2023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398B308B"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E94044">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.4.2.</w:t>
      </w:r>
      <w:r w:rsidR="00F05EFB">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4875981C"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F05EFB">
        <w:rPr>
          <w:rFonts w:ascii="Times New Roman" w:eastAsia="SimSun" w:hAnsi="Times New Roman" w:cs="Times New Roman"/>
          <w:b/>
          <w:bCs/>
          <w:kern w:val="2"/>
          <w:sz w:val="24"/>
          <w:lang w:eastAsia="zh-CN"/>
        </w:rPr>
        <w:t xml:space="preserve">Remaining aspects of </w:t>
      </w:r>
      <w:r w:rsidR="007F1B33" w:rsidRPr="007F1B33">
        <w:rPr>
          <w:rFonts w:ascii="Times New Roman" w:eastAsia="SimSun" w:hAnsi="Times New Roman" w:cs="Times New Roman"/>
          <w:b/>
          <w:bCs/>
          <w:kern w:val="2"/>
          <w:sz w:val="24"/>
          <w:lang w:eastAsia="zh-CN"/>
        </w:rPr>
        <w:t>Cell Switch</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20527C71" w14:textId="26B75E60" w:rsidR="00F31E3E" w:rsidRPr="001E50D4" w:rsidRDefault="009E046D" w:rsidP="003C076E">
      <w:pPr>
        <w:rPr>
          <w:rFonts w:ascii="Garamond" w:hAnsi="Garamond"/>
          <w:sz w:val="20"/>
          <w:szCs w:val="20"/>
        </w:rPr>
      </w:pPr>
      <w:bookmarkStart w:id="2" w:name="Proposal_Beacon"/>
      <w:r>
        <w:rPr>
          <w:rFonts w:ascii="Garamond" w:hAnsi="Garamond"/>
          <w:sz w:val="20"/>
          <w:szCs w:val="20"/>
        </w:rPr>
        <w:t>LTM based Cell Switch procedure requires e</w:t>
      </w:r>
      <w:r w:rsidR="0084005A" w:rsidRPr="001E50D4">
        <w:rPr>
          <w:rFonts w:ascii="Garamond" w:hAnsi="Garamond"/>
          <w:sz w:val="20"/>
          <w:szCs w:val="20"/>
        </w:rPr>
        <w:t xml:space="preserve">arly TA acquisition </w:t>
      </w:r>
      <w:r>
        <w:rPr>
          <w:rFonts w:ascii="Garamond" w:hAnsi="Garamond"/>
          <w:sz w:val="20"/>
          <w:szCs w:val="20"/>
        </w:rPr>
        <w:t>as well as new MAC CE based mobility procedure</w:t>
      </w:r>
      <w:r w:rsidR="0084005A" w:rsidRPr="001E50D4">
        <w:rPr>
          <w:rFonts w:ascii="Garamond" w:hAnsi="Garamond"/>
          <w:sz w:val="20"/>
          <w:szCs w:val="20"/>
        </w:rPr>
        <w:t xml:space="preserve">. </w:t>
      </w:r>
      <w:r w:rsidR="003C076E">
        <w:rPr>
          <w:rFonts w:ascii="Garamond" w:hAnsi="Garamond"/>
          <w:sz w:val="20"/>
          <w:szCs w:val="20"/>
        </w:rPr>
        <w:t>Using running CR, RAN2 is making good progress. This paper addresses some remaining issues.</w:t>
      </w:r>
    </w:p>
    <w:bookmarkEnd w:id="2"/>
    <w:p w14:paraId="687F3CB4" w14:textId="1C0024F0" w:rsidR="008145CA" w:rsidRDefault="008145CA" w:rsidP="00CD4E42">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Pr>
          <w:rFonts w:ascii="Times New Roman" w:eastAsia="SimSun" w:hAnsi="Times New Roman" w:cs="Times New Roman"/>
          <w:b/>
          <w:sz w:val="32"/>
          <w:szCs w:val="32"/>
          <w:lang w:val="en-GB" w:eastAsia="zh-CN"/>
        </w:rPr>
        <w:t>Discussion</w:t>
      </w:r>
    </w:p>
    <w:p w14:paraId="5FA0C98E" w14:textId="1CAB08D9" w:rsidR="000E6A78" w:rsidRPr="008145CA" w:rsidRDefault="009175CF" w:rsidP="008145CA">
      <w:pPr>
        <w:pStyle w:val="Proposal"/>
        <w:numPr>
          <w:ilvl w:val="0"/>
          <w:numId w:val="0"/>
        </w:numPr>
        <w:rPr>
          <w:rFonts w:ascii="Garamond" w:hAnsi="Garamond"/>
          <w:sz w:val="28"/>
          <w:szCs w:val="28"/>
          <w:u w:val="single"/>
        </w:rPr>
      </w:pPr>
      <w:r w:rsidRPr="008145CA">
        <w:rPr>
          <w:rFonts w:ascii="Garamond" w:hAnsi="Garamond"/>
          <w:sz w:val="28"/>
          <w:szCs w:val="28"/>
          <w:u w:val="single"/>
        </w:rPr>
        <w:t>Reusing Early TA</w:t>
      </w:r>
    </w:p>
    <w:p w14:paraId="2A72E9AB" w14:textId="51A7A533" w:rsidR="004B3DDB" w:rsidRPr="004B3DDB" w:rsidRDefault="004B3DDB" w:rsidP="004B3DDB">
      <w:pPr>
        <w:rPr>
          <w:rFonts w:ascii="Garamond" w:hAnsi="Garamond"/>
          <w:sz w:val="20"/>
          <w:szCs w:val="20"/>
        </w:rPr>
      </w:pPr>
      <w:r>
        <w:rPr>
          <w:rFonts w:ascii="Garamond" w:hAnsi="Garamond"/>
          <w:sz w:val="20"/>
          <w:szCs w:val="20"/>
        </w:rPr>
        <w:t xml:space="preserve">Both RAN1 and RAN2 have been discussing Early TA acquisition topic for a while. </w:t>
      </w:r>
      <w:r w:rsidR="00392203">
        <w:rPr>
          <w:rFonts w:ascii="Garamond" w:hAnsi="Garamond"/>
          <w:sz w:val="20"/>
          <w:szCs w:val="20"/>
        </w:rPr>
        <w:t>F</w:t>
      </w:r>
      <w:r w:rsidRPr="004B3DDB">
        <w:rPr>
          <w:rFonts w:ascii="Garamond" w:hAnsi="Garamond"/>
          <w:sz w:val="20"/>
          <w:szCs w:val="20"/>
        </w:rPr>
        <w:t xml:space="preserve">ollowing two procedures </w:t>
      </w:r>
      <w:r>
        <w:rPr>
          <w:rFonts w:ascii="Garamond" w:hAnsi="Garamond"/>
          <w:sz w:val="20"/>
          <w:szCs w:val="20"/>
        </w:rPr>
        <w:t xml:space="preserve">can </w:t>
      </w:r>
      <w:r w:rsidRPr="004B3DDB">
        <w:rPr>
          <w:rFonts w:ascii="Garamond" w:hAnsi="Garamond"/>
          <w:sz w:val="20"/>
          <w:szCs w:val="20"/>
        </w:rPr>
        <w:t>be used</w:t>
      </w:r>
      <w:r>
        <w:rPr>
          <w:rFonts w:ascii="Garamond" w:hAnsi="Garamond"/>
          <w:sz w:val="20"/>
          <w:szCs w:val="20"/>
        </w:rPr>
        <w:t xml:space="preserve"> to </w:t>
      </w:r>
      <w:r w:rsidR="00392203">
        <w:rPr>
          <w:rFonts w:ascii="Garamond" w:hAnsi="Garamond"/>
          <w:sz w:val="20"/>
          <w:szCs w:val="20"/>
        </w:rPr>
        <w:t xml:space="preserve">acquire </w:t>
      </w:r>
      <w:r>
        <w:rPr>
          <w:rFonts w:ascii="Garamond" w:hAnsi="Garamond"/>
          <w:sz w:val="20"/>
          <w:szCs w:val="20"/>
        </w:rPr>
        <w:t xml:space="preserve">the </w:t>
      </w:r>
      <w:r w:rsidR="00052579">
        <w:rPr>
          <w:rFonts w:ascii="Garamond" w:hAnsi="Garamond"/>
          <w:sz w:val="20"/>
          <w:szCs w:val="20"/>
        </w:rPr>
        <w:t xml:space="preserve">Early </w:t>
      </w:r>
      <w:r>
        <w:rPr>
          <w:rFonts w:ascii="Garamond" w:hAnsi="Garamond"/>
          <w:sz w:val="20"/>
          <w:szCs w:val="20"/>
        </w:rPr>
        <w:t>TA value corresponding to a candidate cell</w:t>
      </w:r>
      <w:r w:rsidRPr="004B3DDB">
        <w:rPr>
          <w:rFonts w:ascii="Garamond" w:hAnsi="Garamond"/>
          <w:sz w:val="20"/>
          <w:szCs w:val="20"/>
        </w:rPr>
        <w:t>:</w:t>
      </w:r>
    </w:p>
    <w:p w14:paraId="49F19C7C" w14:textId="77777777" w:rsidR="000221A1" w:rsidRPr="004B3DDB" w:rsidRDefault="000221A1" w:rsidP="000221A1">
      <w:pPr>
        <w:pStyle w:val="ListParagraph"/>
        <w:numPr>
          <w:ilvl w:val="0"/>
          <w:numId w:val="21"/>
        </w:numPr>
        <w:rPr>
          <w:rFonts w:ascii="Garamond" w:hAnsi="Garamond"/>
        </w:rPr>
      </w:pPr>
      <w:r>
        <w:rPr>
          <w:rFonts w:ascii="Garamond" w:hAnsi="Garamond"/>
        </w:rPr>
        <w:t xml:space="preserve">PDCCH order based: </w:t>
      </w:r>
      <w:r w:rsidRPr="004B3DDB">
        <w:rPr>
          <w:rFonts w:ascii="Garamond" w:hAnsi="Garamond"/>
        </w:rPr>
        <w:t>Early TA is sent by the source cell (DU) to the UE included in the LTM</w:t>
      </w:r>
      <w:r>
        <w:rPr>
          <w:rFonts w:ascii="Garamond" w:hAnsi="Garamond"/>
        </w:rPr>
        <w:t xml:space="preserve"> MAC CE.</w:t>
      </w:r>
    </w:p>
    <w:p w14:paraId="780A3138" w14:textId="628FFB0E" w:rsidR="004B3DDB" w:rsidRPr="004B3DDB" w:rsidRDefault="004B3DDB" w:rsidP="004B3DDB">
      <w:pPr>
        <w:pStyle w:val="ListParagraph"/>
        <w:numPr>
          <w:ilvl w:val="0"/>
          <w:numId w:val="21"/>
        </w:numPr>
        <w:rPr>
          <w:rFonts w:ascii="Garamond" w:hAnsi="Garamond"/>
        </w:rPr>
      </w:pPr>
      <w:r w:rsidRPr="004B3DDB">
        <w:rPr>
          <w:rFonts w:ascii="Garamond" w:hAnsi="Garamond"/>
        </w:rPr>
        <w:t>UE</w:t>
      </w:r>
      <w:r w:rsidR="000221A1">
        <w:rPr>
          <w:rFonts w:ascii="Garamond" w:hAnsi="Garamond"/>
        </w:rPr>
        <w:t xml:space="preserve"> based TA measurements</w:t>
      </w:r>
      <w:r w:rsidR="00052579">
        <w:rPr>
          <w:rFonts w:ascii="Garamond" w:hAnsi="Garamond"/>
        </w:rPr>
        <w:t xml:space="preserve"> (</w:t>
      </w:r>
      <w:r w:rsidR="00052579" w:rsidRPr="008C3EBE">
        <w:rPr>
          <w:rFonts w:eastAsia="SimSun"/>
          <w:lang w:eastAsia="zh-CN"/>
        </w:rPr>
        <w:t>UE derives TA based on Rx timing difference between current serving cell and candidate cell</w:t>
      </w:r>
      <w:r w:rsidR="00052579">
        <w:rPr>
          <w:rFonts w:ascii="Garamond" w:hAnsi="Garamond"/>
        </w:rPr>
        <w:t>)</w:t>
      </w:r>
    </w:p>
    <w:p w14:paraId="409CE72B" w14:textId="52100969" w:rsidR="00A14128" w:rsidRDefault="004B3DDB" w:rsidP="004B3DDB">
      <w:pPr>
        <w:rPr>
          <w:rFonts w:ascii="Garamond" w:hAnsi="Garamond"/>
          <w:sz w:val="20"/>
          <w:szCs w:val="20"/>
        </w:rPr>
      </w:pPr>
      <w:r>
        <w:rPr>
          <w:rFonts w:ascii="Garamond" w:hAnsi="Garamond"/>
          <w:sz w:val="20"/>
          <w:szCs w:val="20"/>
        </w:rPr>
        <w:t>Apart from these two</w:t>
      </w:r>
      <w:r w:rsidRPr="004B3DDB">
        <w:rPr>
          <w:rFonts w:ascii="Garamond" w:hAnsi="Garamond"/>
          <w:sz w:val="20"/>
          <w:szCs w:val="20"/>
        </w:rPr>
        <w:t xml:space="preserve"> there’s a third </w:t>
      </w:r>
      <w:r>
        <w:rPr>
          <w:rFonts w:ascii="Garamond" w:hAnsi="Garamond"/>
          <w:sz w:val="20"/>
          <w:szCs w:val="20"/>
        </w:rPr>
        <w:t xml:space="preserve">possibility </w:t>
      </w:r>
      <w:r w:rsidRPr="004B3DDB">
        <w:rPr>
          <w:rFonts w:ascii="Garamond" w:hAnsi="Garamond"/>
          <w:sz w:val="20"/>
          <w:szCs w:val="20"/>
        </w:rPr>
        <w:t>where RAN2 first needs to agree if the acquired Early TA should be kept (or not) after a successful mobility.</w:t>
      </w:r>
      <w:r w:rsidR="00A14128">
        <w:rPr>
          <w:rFonts w:ascii="Garamond" w:hAnsi="Garamond"/>
          <w:sz w:val="20"/>
          <w:szCs w:val="20"/>
        </w:rPr>
        <w:t xml:space="preserve"> On </w:t>
      </w:r>
      <w:r w:rsidR="00A14128" w:rsidRPr="00A14128">
        <w:rPr>
          <w:rFonts w:ascii="Garamond" w:hAnsi="Garamond"/>
          <w:sz w:val="20"/>
          <w:szCs w:val="20"/>
        </w:rPr>
        <w:t>“</w:t>
      </w:r>
      <w:r w:rsidR="00A14128" w:rsidRPr="00A14128">
        <w:rPr>
          <w:rFonts w:ascii="Garamond" w:hAnsi="Garamond"/>
          <w:b/>
          <w:bCs/>
          <w:sz w:val="20"/>
          <w:szCs w:val="20"/>
        </w:rPr>
        <w:t xml:space="preserve">keeping </w:t>
      </w:r>
      <w:r w:rsidR="00244748">
        <w:rPr>
          <w:rFonts w:ascii="Garamond" w:hAnsi="Garamond"/>
          <w:b/>
          <w:bCs/>
          <w:sz w:val="20"/>
          <w:szCs w:val="20"/>
        </w:rPr>
        <w:t xml:space="preserve">or saving </w:t>
      </w:r>
      <w:r w:rsidR="00A14128" w:rsidRPr="00A14128">
        <w:rPr>
          <w:rFonts w:ascii="Garamond" w:hAnsi="Garamond"/>
          <w:b/>
          <w:bCs/>
          <w:sz w:val="20"/>
          <w:szCs w:val="20"/>
        </w:rPr>
        <w:t>Early TA</w:t>
      </w:r>
      <w:r w:rsidR="00244748">
        <w:rPr>
          <w:rFonts w:ascii="Garamond" w:hAnsi="Garamond"/>
          <w:b/>
          <w:bCs/>
          <w:sz w:val="20"/>
          <w:szCs w:val="20"/>
        </w:rPr>
        <w:t xml:space="preserve"> value for candidate cell(s)</w:t>
      </w:r>
      <w:r w:rsidR="00A14128" w:rsidRPr="00A14128">
        <w:rPr>
          <w:rFonts w:ascii="Garamond" w:hAnsi="Garamond"/>
          <w:b/>
          <w:bCs/>
          <w:sz w:val="20"/>
          <w:szCs w:val="20"/>
        </w:rPr>
        <w:t>” may be considered</w:t>
      </w:r>
      <w:r w:rsidR="00A14128" w:rsidRPr="00A14128">
        <w:rPr>
          <w:rFonts w:ascii="Garamond" w:hAnsi="Garamond"/>
          <w:sz w:val="20"/>
          <w:szCs w:val="20"/>
        </w:rPr>
        <w:t xml:space="preserve"> a valid optimization </w:t>
      </w:r>
      <w:r w:rsidR="00A14128" w:rsidRPr="00A14128">
        <w:rPr>
          <w:rFonts w:ascii="Garamond" w:hAnsi="Garamond"/>
          <w:b/>
          <w:bCs/>
          <w:sz w:val="20"/>
          <w:szCs w:val="20"/>
        </w:rPr>
        <w:t xml:space="preserve">as </w:t>
      </w:r>
      <w:r w:rsidR="00244748">
        <w:rPr>
          <w:rFonts w:ascii="Garamond" w:hAnsi="Garamond"/>
          <w:b/>
          <w:bCs/>
          <w:sz w:val="20"/>
          <w:szCs w:val="20"/>
        </w:rPr>
        <w:t xml:space="preserve">based on ASN.1 </w:t>
      </w:r>
      <w:r w:rsidR="00A14128" w:rsidRPr="00A14128">
        <w:rPr>
          <w:rFonts w:ascii="Garamond" w:hAnsi="Garamond"/>
          <w:b/>
          <w:bCs/>
          <w:sz w:val="20"/>
          <w:szCs w:val="20"/>
        </w:rPr>
        <w:t>the TAT can be configured up to 10 sec. long</w:t>
      </w:r>
      <w:r w:rsidR="00A14128" w:rsidRPr="00A14128">
        <w:rPr>
          <w:rFonts w:ascii="Garamond" w:hAnsi="Garamond"/>
          <w:sz w:val="20"/>
          <w:szCs w:val="20"/>
        </w:rPr>
        <w:t xml:space="preserve">. </w:t>
      </w:r>
      <w:r w:rsidR="00A14128">
        <w:rPr>
          <w:rFonts w:ascii="Garamond" w:hAnsi="Garamond"/>
          <w:sz w:val="20"/>
          <w:szCs w:val="20"/>
        </w:rPr>
        <w:t xml:space="preserve">On </w:t>
      </w:r>
      <w:r w:rsidR="00244748">
        <w:rPr>
          <w:rFonts w:ascii="Garamond" w:hAnsi="Garamond"/>
          <w:sz w:val="20"/>
          <w:szCs w:val="20"/>
        </w:rPr>
        <w:t>“</w:t>
      </w:r>
      <w:r w:rsidR="00A14128">
        <w:rPr>
          <w:rFonts w:ascii="Garamond" w:hAnsi="Garamond"/>
          <w:sz w:val="20"/>
          <w:szCs w:val="20"/>
        </w:rPr>
        <w:t>who</w:t>
      </w:r>
      <w:r w:rsidR="00244748">
        <w:rPr>
          <w:rFonts w:ascii="Garamond" w:hAnsi="Garamond"/>
          <w:sz w:val="20"/>
          <w:szCs w:val="20"/>
        </w:rPr>
        <w:t>”</w:t>
      </w:r>
      <w:r w:rsidR="00A14128">
        <w:rPr>
          <w:rFonts w:ascii="Garamond" w:hAnsi="Garamond"/>
          <w:sz w:val="20"/>
          <w:szCs w:val="20"/>
        </w:rPr>
        <w:t xml:space="preserve"> keeps the Early TA, </w:t>
      </w:r>
      <w:r w:rsidR="00244748">
        <w:rPr>
          <w:rFonts w:ascii="Garamond" w:hAnsi="Garamond"/>
          <w:sz w:val="20"/>
          <w:szCs w:val="20"/>
        </w:rPr>
        <w:t>UE,</w:t>
      </w:r>
      <w:r w:rsidR="00A14128">
        <w:rPr>
          <w:rFonts w:ascii="Garamond" w:hAnsi="Garamond"/>
          <w:sz w:val="20"/>
          <w:szCs w:val="20"/>
        </w:rPr>
        <w:t xml:space="preserve"> or the network, following can be considered:</w:t>
      </w:r>
    </w:p>
    <w:p w14:paraId="1E4EB85A" w14:textId="6AD0FD3D" w:rsidR="00277F61" w:rsidRDefault="00A14128" w:rsidP="004B3DDB">
      <w:pPr>
        <w:rPr>
          <w:rFonts w:ascii="Garamond" w:hAnsi="Garamond"/>
          <w:sz w:val="20"/>
          <w:szCs w:val="20"/>
        </w:rPr>
      </w:pPr>
      <w:r>
        <w:rPr>
          <w:rFonts w:ascii="Garamond" w:hAnsi="Garamond"/>
          <w:sz w:val="20"/>
          <w:szCs w:val="20"/>
        </w:rPr>
        <w:t xml:space="preserve">If UE keeps Early TAs acquired for candidate cell(s) </w:t>
      </w:r>
      <w:r w:rsidRPr="00A14128">
        <w:rPr>
          <w:rFonts w:ascii="Garamond" w:hAnsi="Garamond"/>
          <w:sz w:val="20"/>
          <w:szCs w:val="20"/>
        </w:rPr>
        <w:t xml:space="preserve">there’s a problem when Early TA is sent to the UE in LTM, then UE does not really know when it was acquired – unless UE implementation remembers the Msg1 transmission time in the corresponding candidate cell! On the other hand, </w:t>
      </w:r>
      <w:r w:rsidR="00C87860">
        <w:rPr>
          <w:rFonts w:ascii="Garamond" w:hAnsi="Garamond"/>
          <w:sz w:val="20"/>
          <w:szCs w:val="20"/>
        </w:rPr>
        <w:t>network does not know the TA value in case of UE based TA measurements</w:t>
      </w:r>
      <w:r w:rsidR="005E301C">
        <w:rPr>
          <w:rFonts w:ascii="Garamond" w:hAnsi="Garamond"/>
          <w:sz w:val="20"/>
          <w:szCs w:val="20"/>
        </w:rPr>
        <w:t>.</w:t>
      </w:r>
      <w:r w:rsidR="00C87860">
        <w:rPr>
          <w:rFonts w:ascii="Garamond" w:hAnsi="Garamond"/>
          <w:sz w:val="20"/>
          <w:szCs w:val="20"/>
        </w:rPr>
        <w:t xml:space="preserve"> So, we can leave the possibility for network (in the </w:t>
      </w:r>
      <w:r w:rsidR="00C87860" w:rsidRPr="00C87860">
        <w:rPr>
          <w:rFonts w:ascii="Garamond" w:hAnsi="Garamond"/>
          <w:sz w:val="20"/>
          <w:szCs w:val="20"/>
        </w:rPr>
        <w:t>PDCCH order-based</w:t>
      </w:r>
      <w:r w:rsidR="00C87860">
        <w:rPr>
          <w:rFonts w:ascii="Garamond" w:hAnsi="Garamond"/>
          <w:sz w:val="20"/>
          <w:szCs w:val="20"/>
        </w:rPr>
        <w:t xml:space="preserve"> case) and UE (when using </w:t>
      </w:r>
      <w:r w:rsidR="00C87860" w:rsidRPr="004B3DDB">
        <w:rPr>
          <w:rFonts w:ascii="Garamond" w:hAnsi="Garamond"/>
        </w:rPr>
        <w:t>UE</w:t>
      </w:r>
      <w:r w:rsidR="00C87860">
        <w:rPr>
          <w:rFonts w:ascii="Garamond" w:hAnsi="Garamond"/>
        </w:rPr>
        <w:t xml:space="preserve"> based TA measurements) </w:t>
      </w:r>
      <w:r w:rsidR="00C87860">
        <w:rPr>
          <w:rFonts w:ascii="Garamond" w:hAnsi="Garamond"/>
          <w:sz w:val="20"/>
          <w:szCs w:val="20"/>
        </w:rPr>
        <w:t>to keep/ maintain Early TA and thereby the Early TAs can still be used, in case needed by a “subsequent” case.</w:t>
      </w:r>
    </w:p>
    <w:p w14:paraId="2BB98FBD" w14:textId="2B8C2376" w:rsidR="00545845" w:rsidRPr="00244748" w:rsidRDefault="00545845" w:rsidP="004B3DDB">
      <w:pPr>
        <w:rPr>
          <w:rFonts w:ascii="Garamond" w:hAnsi="Garamond"/>
          <w:sz w:val="20"/>
          <w:szCs w:val="20"/>
        </w:rPr>
      </w:pPr>
      <w:r>
        <w:rPr>
          <w:rFonts w:ascii="Garamond" w:hAnsi="Garamond"/>
          <w:sz w:val="20"/>
          <w:szCs w:val="20"/>
        </w:rPr>
        <w:t>Accordingly, the following proposals are made:</w:t>
      </w:r>
    </w:p>
    <w:p w14:paraId="4F4257D0" w14:textId="3811EAED" w:rsidR="002E03EE" w:rsidRDefault="002E03EE" w:rsidP="00307640">
      <w:pPr>
        <w:pStyle w:val="Proposal"/>
        <w:rPr>
          <w:rFonts w:ascii="Garamond" w:hAnsi="Garamond"/>
        </w:rPr>
      </w:pPr>
      <w:r w:rsidRPr="002E03EE">
        <w:rPr>
          <w:rFonts w:ascii="Garamond" w:hAnsi="Garamond"/>
        </w:rPr>
        <w:t>Source cell may provide the valid timing advance value(s) (Nta) of candidate cell(s) to target cell when receiving successful handover confirmation from it (i.e., upon UE’s arrival on the target side).</w:t>
      </w:r>
    </w:p>
    <w:p w14:paraId="00E19AAA" w14:textId="05DC9D1A" w:rsidR="001921A2" w:rsidRPr="00531C86" w:rsidRDefault="001921A2" w:rsidP="001921A2">
      <w:pPr>
        <w:pStyle w:val="Proposal"/>
        <w:rPr>
          <w:rFonts w:ascii="Garamond" w:hAnsi="Garamond"/>
        </w:rPr>
      </w:pPr>
      <w:r>
        <w:rPr>
          <w:rFonts w:ascii="Garamond" w:hAnsi="Garamond"/>
        </w:rPr>
        <w:t xml:space="preserve">A target cell (which becomes </w:t>
      </w:r>
      <w:r w:rsidRPr="00531C86">
        <w:rPr>
          <w:rFonts w:ascii="Garamond" w:hAnsi="Garamond"/>
        </w:rPr>
        <w:t>Source cell</w:t>
      </w:r>
      <w:r>
        <w:rPr>
          <w:rFonts w:ascii="Garamond" w:hAnsi="Garamond"/>
        </w:rPr>
        <w:t>)</w:t>
      </w:r>
      <w:r w:rsidRPr="00531C86">
        <w:rPr>
          <w:rFonts w:ascii="Garamond" w:hAnsi="Garamond"/>
        </w:rPr>
        <w:t xml:space="preserve"> may transmit PDCCH order once it determines that the TA </w:t>
      </w:r>
      <w:r>
        <w:rPr>
          <w:rFonts w:ascii="Garamond" w:hAnsi="Garamond"/>
        </w:rPr>
        <w:t xml:space="preserve">received from source cell </w:t>
      </w:r>
      <w:r w:rsidRPr="00531C86">
        <w:rPr>
          <w:rFonts w:ascii="Garamond" w:hAnsi="Garamond"/>
        </w:rPr>
        <w:t xml:space="preserve">is not valid anymore. </w:t>
      </w:r>
    </w:p>
    <w:p w14:paraId="051A2EBD" w14:textId="77777777" w:rsidR="008B722B" w:rsidRPr="002C5CF1" w:rsidRDefault="008B722B" w:rsidP="008B722B">
      <w:pPr>
        <w:rPr>
          <w:rFonts w:ascii="Garamond" w:hAnsi="Garamond"/>
          <w:sz w:val="20"/>
          <w:szCs w:val="20"/>
          <w:lang w:val="en-GB"/>
        </w:rPr>
      </w:pPr>
    </w:p>
    <w:p w14:paraId="60909705" w14:textId="0E4609D1" w:rsidR="00385134" w:rsidRPr="0016729E" w:rsidRDefault="0016729E" w:rsidP="002B4D71">
      <w:pPr>
        <w:pStyle w:val="Proposal"/>
        <w:numPr>
          <w:ilvl w:val="0"/>
          <w:numId w:val="0"/>
        </w:numPr>
        <w:rPr>
          <w:rFonts w:ascii="Garamond" w:hAnsi="Garamond"/>
          <w:sz w:val="28"/>
          <w:szCs w:val="28"/>
          <w:u w:val="single"/>
        </w:rPr>
      </w:pPr>
      <w:r w:rsidRPr="0016729E">
        <w:rPr>
          <w:rFonts w:ascii="Garamond" w:hAnsi="Garamond"/>
          <w:sz w:val="28"/>
          <w:szCs w:val="28"/>
          <w:u w:val="single"/>
        </w:rPr>
        <w:t>Cell switch command</w:t>
      </w:r>
      <w:r w:rsidR="00186DB4">
        <w:rPr>
          <w:rFonts w:ascii="Garamond" w:hAnsi="Garamond"/>
          <w:sz w:val="28"/>
          <w:szCs w:val="28"/>
          <w:u w:val="single"/>
        </w:rPr>
        <w:t xml:space="preserve"> robustness and security</w:t>
      </w:r>
    </w:p>
    <w:p w14:paraId="2F332128" w14:textId="21B7B775" w:rsidR="0016729E" w:rsidRDefault="00674196" w:rsidP="002B4D71">
      <w:pPr>
        <w:pStyle w:val="Proposal"/>
        <w:numPr>
          <w:ilvl w:val="0"/>
          <w:numId w:val="0"/>
        </w:numPr>
        <w:rPr>
          <w:rFonts w:ascii="Garamond" w:hAnsi="Garamond"/>
          <w:b w:val="0"/>
          <w:bCs w:val="0"/>
        </w:rPr>
      </w:pPr>
      <w:r>
        <w:rPr>
          <w:rFonts w:ascii="Garamond" w:hAnsi="Garamond"/>
          <w:b w:val="0"/>
          <w:bCs w:val="0"/>
        </w:rPr>
        <w:t>According to the running stage-2 CR, the following behaviour is captured:</w:t>
      </w:r>
    </w:p>
    <w:p w14:paraId="2005D8B3" w14:textId="42C2D40F" w:rsidR="00674196" w:rsidRDefault="00674196" w:rsidP="002B4D71">
      <w:pPr>
        <w:pStyle w:val="Proposal"/>
        <w:numPr>
          <w:ilvl w:val="0"/>
          <w:numId w:val="0"/>
        </w:numPr>
        <w:rPr>
          <w:rFonts w:ascii="Garamond" w:hAnsi="Garamond"/>
          <w:b w:val="0"/>
          <w:bCs w:val="0"/>
        </w:rPr>
      </w:pPr>
      <w:r>
        <w:rPr>
          <w:rFonts w:ascii="Garamond" w:hAnsi="Garamond"/>
          <w:b w:val="0"/>
          <w:bCs w:val="0"/>
        </w:rPr>
        <w:t>“</w:t>
      </w:r>
      <w:proofErr w:type="gramStart"/>
      <w:r w:rsidRPr="00674196">
        <w:rPr>
          <w:rFonts w:ascii="Times New Roman" w:hAnsi="Times New Roman"/>
          <w:b w:val="0"/>
          <w:bCs w:val="0"/>
          <w:i/>
          <w:iCs/>
        </w:rPr>
        <w:t>A supervision timer,</w:t>
      </w:r>
      <w:proofErr w:type="gramEnd"/>
      <w:r w:rsidRPr="00674196">
        <w:rPr>
          <w:rFonts w:ascii="Times New Roman" w:hAnsi="Times New Roman"/>
          <w:b w:val="0"/>
          <w:bCs w:val="0"/>
          <w:i/>
          <w:iCs/>
        </w:rPr>
        <w:t xml:space="preserve"> can be used to detect failure of LTM cell switch procedure, wherein LTM procedure fails if the LTM supervision timer expires. When LTM execution attempt fails or RLF occurs, if network configured the UE to try LTM after LTM failure, the UE performs cell selection and if the selected cell is an LTM candidate cell, the </w:t>
      </w:r>
      <w:r w:rsidRPr="00630E9F">
        <w:rPr>
          <w:rFonts w:ascii="Times New Roman" w:hAnsi="Times New Roman"/>
          <w:i/>
          <w:iCs/>
        </w:rPr>
        <w:t>UE attempts RACH-based LTM execution once to that cell</w:t>
      </w:r>
      <w:r w:rsidRPr="00674196">
        <w:rPr>
          <w:rFonts w:ascii="Times New Roman" w:hAnsi="Times New Roman"/>
          <w:b w:val="0"/>
          <w:bCs w:val="0"/>
          <w:i/>
          <w:iCs/>
        </w:rPr>
        <w:t>; Otherwise RRC re-establishment is performed.</w:t>
      </w:r>
      <w:r>
        <w:rPr>
          <w:rFonts w:ascii="Garamond" w:hAnsi="Garamond"/>
          <w:b w:val="0"/>
          <w:bCs w:val="0"/>
        </w:rPr>
        <w:t>”</w:t>
      </w:r>
    </w:p>
    <w:p w14:paraId="3E0C5882" w14:textId="7654333E" w:rsidR="00315622" w:rsidRPr="00315622" w:rsidRDefault="00630E9F" w:rsidP="00315622">
      <w:pPr>
        <w:pStyle w:val="Proposal"/>
        <w:numPr>
          <w:ilvl w:val="0"/>
          <w:numId w:val="0"/>
        </w:numPr>
        <w:rPr>
          <w:rFonts w:ascii="Garamond" w:hAnsi="Garamond"/>
          <w:b w:val="0"/>
          <w:bCs w:val="0"/>
        </w:rPr>
      </w:pPr>
      <w:r>
        <w:rPr>
          <w:rFonts w:ascii="Garamond" w:hAnsi="Garamond"/>
          <w:b w:val="0"/>
          <w:bCs w:val="0"/>
        </w:rPr>
        <w:lastRenderedPageBreak/>
        <w:t>The above alternative still needs the UE to perform RACH based access in a target cell, even if a valid Early TA were available from an earlier PDCCH order based early TA acquisition. This delays UE’s handover and consumes UE transmission power. So, we think this is helpful if the LTM contains more than a single target, whenever available.</w:t>
      </w:r>
      <w:r w:rsidR="00CB19AA">
        <w:rPr>
          <w:rFonts w:ascii="Garamond" w:hAnsi="Garamond"/>
          <w:b w:val="0"/>
          <w:bCs w:val="0"/>
        </w:rPr>
        <w:t xml:space="preserve"> From MAC CE design perspective, it is feasible to have it accommodate another candidate cell using one of the many reserved bits – and RAN2 is still working on the actual MAC CE format. So, we propose:</w:t>
      </w:r>
    </w:p>
    <w:p w14:paraId="6913ACDF" w14:textId="63EE8F16" w:rsidR="002B4D71" w:rsidRDefault="00CB19AA" w:rsidP="000046B5">
      <w:pPr>
        <w:pStyle w:val="Proposal"/>
        <w:rPr>
          <w:rFonts w:ascii="Garamond" w:hAnsi="Garamond"/>
        </w:rPr>
      </w:pPr>
      <w:r>
        <w:rPr>
          <w:rFonts w:ascii="Garamond" w:hAnsi="Garamond"/>
        </w:rPr>
        <w:t>Introduce possibility for including</w:t>
      </w:r>
      <w:r w:rsidR="000046B5" w:rsidRPr="000046B5">
        <w:rPr>
          <w:rFonts w:ascii="Garamond" w:hAnsi="Garamond"/>
        </w:rPr>
        <w:t xml:space="preserve"> more than one target cells</w:t>
      </w:r>
      <w:r>
        <w:rPr>
          <w:rFonts w:ascii="Garamond" w:hAnsi="Garamond"/>
        </w:rPr>
        <w:t xml:space="preserve"> in </w:t>
      </w:r>
      <w:r w:rsidRPr="00CB19AA">
        <w:rPr>
          <w:rFonts w:ascii="Garamond" w:hAnsi="Garamond"/>
        </w:rPr>
        <w:t>LTM Cell Switch Command MAC CE</w:t>
      </w:r>
      <w:r>
        <w:rPr>
          <w:rFonts w:ascii="Garamond" w:hAnsi="Garamond"/>
        </w:rPr>
        <w:t xml:space="preserve"> format.</w:t>
      </w:r>
    </w:p>
    <w:p w14:paraId="51F43AB3" w14:textId="217CBA99" w:rsidR="00DC61C1" w:rsidRDefault="00DC61C1" w:rsidP="00DC61C1">
      <w:pPr>
        <w:pStyle w:val="Proposal"/>
        <w:numPr>
          <w:ilvl w:val="0"/>
          <w:numId w:val="0"/>
        </w:numPr>
        <w:rPr>
          <w:rFonts w:ascii="Garamond" w:hAnsi="Garamond"/>
        </w:rPr>
      </w:pPr>
    </w:p>
    <w:p w14:paraId="490F43B1" w14:textId="7D6CDFDF" w:rsidR="00DC61C1" w:rsidRPr="008178C2" w:rsidRDefault="00DC61C1" w:rsidP="00DC61C1">
      <w:pPr>
        <w:pStyle w:val="Proposal"/>
        <w:numPr>
          <w:ilvl w:val="0"/>
          <w:numId w:val="0"/>
        </w:numPr>
        <w:rPr>
          <w:rFonts w:ascii="Garamond" w:hAnsi="Garamond"/>
          <w:b w:val="0"/>
          <w:bCs w:val="0"/>
        </w:rPr>
      </w:pPr>
      <w:r w:rsidRPr="008178C2">
        <w:rPr>
          <w:rFonts w:ascii="Garamond" w:hAnsi="Garamond"/>
          <w:b w:val="0"/>
          <w:bCs w:val="0"/>
        </w:rPr>
        <w:t xml:space="preserve">Finally, a Candidate Cell ID of merely 3 bits will pose a </w:t>
      </w:r>
      <w:r w:rsidR="00AB62E7">
        <w:rPr>
          <w:rFonts w:ascii="Garamond" w:hAnsi="Garamond"/>
          <w:b w:val="0"/>
          <w:bCs w:val="0"/>
        </w:rPr>
        <w:t xml:space="preserve">100% </w:t>
      </w:r>
      <w:r w:rsidRPr="008178C2">
        <w:rPr>
          <w:rFonts w:ascii="Garamond" w:hAnsi="Garamond"/>
          <w:b w:val="0"/>
          <w:bCs w:val="0"/>
        </w:rPr>
        <w:t xml:space="preserve">security risk even if indexing is used to hide the PCI/ frequency of target cell since an intruder just needs to use one of the values from </w:t>
      </w:r>
      <w:r w:rsidR="00FC2B00" w:rsidRPr="008178C2">
        <w:rPr>
          <w:rFonts w:ascii="Garamond" w:hAnsi="Garamond"/>
          <w:b w:val="0"/>
          <w:bCs w:val="0"/>
        </w:rPr>
        <w:t>1</w:t>
      </w:r>
      <w:r w:rsidRPr="008178C2">
        <w:rPr>
          <w:rFonts w:ascii="Garamond" w:hAnsi="Garamond"/>
          <w:b w:val="0"/>
          <w:bCs w:val="0"/>
        </w:rPr>
        <w:t xml:space="preserve"> to </w:t>
      </w:r>
      <w:r w:rsidR="00FC2B00" w:rsidRPr="008178C2">
        <w:rPr>
          <w:rFonts w:ascii="Garamond" w:hAnsi="Garamond"/>
          <w:b w:val="0"/>
          <w:bCs w:val="0"/>
        </w:rPr>
        <w:t>8</w:t>
      </w:r>
      <w:r w:rsidRPr="008178C2">
        <w:rPr>
          <w:rFonts w:ascii="Garamond" w:hAnsi="Garamond"/>
          <w:b w:val="0"/>
          <w:bCs w:val="0"/>
        </w:rPr>
        <w:t xml:space="preserve"> in the LTM Cell Switch Command MAC CE, and the UE would be led to believe it is from genuine network</w:t>
      </w:r>
      <w:r w:rsidR="00DB6459">
        <w:rPr>
          <w:rFonts w:ascii="Garamond" w:hAnsi="Garamond"/>
          <w:b w:val="0"/>
          <w:bCs w:val="0"/>
        </w:rPr>
        <w:t>!</w:t>
      </w:r>
      <w:r w:rsidRPr="008178C2">
        <w:rPr>
          <w:rFonts w:ascii="Garamond" w:hAnsi="Garamond"/>
          <w:b w:val="0"/>
          <w:bCs w:val="0"/>
        </w:rPr>
        <w:t xml:space="preserve"> </w:t>
      </w:r>
      <w:r w:rsidR="00206E9B" w:rsidRPr="008178C2">
        <w:rPr>
          <w:rFonts w:ascii="Garamond" w:hAnsi="Garamond"/>
          <w:b w:val="0"/>
          <w:bCs w:val="0"/>
        </w:rPr>
        <w:t xml:space="preserve">We therefore propose that </w:t>
      </w:r>
      <w:r w:rsidR="00FC2B00" w:rsidRPr="008178C2">
        <w:rPr>
          <w:rFonts w:ascii="Garamond" w:hAnsi="Garamond"/>
          <w:b w:val="0"/>
          <w:bCs w:val="0"/>
        </w:rPr>
        <w:t xml:space="preserve">LTM-CandidateId-r18 contain a random number of higher integer values, this will make it difficult for an intruder to predict the LTM candidate IDs. </w:t>
      </w:r>
      <w:r w:rsidR="003C2A58" w:rsidRPr="008178C2">
        <w:rPr>
          <w:rFonts w:ascii="Garamond" w:hAnsi="Garamond"/>
          <w:b w:val="0"/>
          <w:bCs w:val="0"/>
        </w:rPr>
        <w:t xml:space="preserve">For </w:t>
      </w:r>
      <w:r w:rsidR="00DB6459">
        <w:rPr>
          <w:rFonts w:ascii="Garamond" w:hAnsi="Garamond"/>
          <w:b w:val="0"/>
          <w:bCs w:val="0"/>
        </w:rPr>
        <w:t xml:space="preserve">example, </w:t>
      </w:r>
      <w:proofErr w:type="gramStart"/>
      <w:r w:rsidR="00DB6459">
        <w:rPr>
          <w:rFonts w:ascii="Garamond" w:hAnsi="Garamond"/>
          <w:b w:val="0"/>
          <w:bCs w:val="0"/>
        </w:rPr>
        <w:t>a</w:t>
      </w:r>
      <w:proofErr w:type="gramEnd"/>
      <w:r w:rsidR="00DB6459">
        <w:rPr>
          <w:rFonts w:ascii="Garamond" w:hAnsi="Garamond"/>
          <w:b w:val="0"/>
          <w:bCs w:val="0"/>
        </w:rPr>
        <w:t xml:space="preserve"> </w:t>
      </w:r>
      <w:r w:rsidR="003C2A58" w:rsidRPr="008178C2">
        <w:rPr>
          <w:rFonts w:ascii="Garamond" w:hAnsi="Garamond"/>
          <w:b w:val="0"/>
          <w:bCs w:val="0"/>
        </w:rPr>
        <w:t xml:space="preserve">8 bit candidate cell index, allocated randomly, an intruder has only </w:t>
      </w:r>
      <w:r w:rsidR="00DB6459">
        <w:rPr>
          <w:rFonts w:ascii="Garamond" w:hAnsi="Garamond"/>
          <w:b w:val="0"/>
          <w:bCs w:val="0"/>
        </w:rPr>
        <w:t xml:space="preserve">3% </w:t>
      </w:r>
      <w:r w:rsidR="003C2A58" w:rsidRPr="008178C2">
        <w:rPr>
          <w:rFonts w:ascii="Garamond" w:hAnsi="Garamond"/>
          <w:b w:val="0"/>
          <w:bCs w:val="0"/>
        </w:rPr>
        <w:t xml:space="preserve">chance </w:t>
      </w:r>
      <w:r w:rsidR="00DB6459">
        <w:rPr>
          <w:rFonts w:ascii="Garamond" w:hAnsi="Garamond"/>
          <w:b w:val="0"/>
          <w:bCs w:val="0"/>
        </w:rPr>
        <w:t xml:space="preserve">to disrupt UE connection, and using a 16 bit </w:t>
      </w:r>
      <w:r w:rsidR="00DB6459" w:rsidRPr="008178C2">
        <w:rPr>
          <w:rFonts w:ascii="Garamond" w:hAnsi="Garamond"/>
          <w:b w:val="0"/>
          <w:bCs w:val="0"/>
        </w:rPr>
        <w:t>candidate cell index</w:t>
      </w:r>
      <w:r w:rsidR="00DB6459">
        <w:rPr>
          <w:rFonts w:ascii="Garamond" w:hAnsi="Garamond"/>
          <w:b w:val="0"/>
          <w:bCs w:val="0"/>
        </w:rPr>
        <w:t xml:space="preserve"> this reduces down to 0.01% - much more acceptable.</w:t>
      </w:r>
    </w:p>
    <w:tbl>
      <w:tblPr>
        <w:tblStyle w:val="TableGrid"/>
        <w:tblW w:w="8358" w:type="dxa"/>
        <w:jc w:val="center"/>
        <w:tblLook w:val="04A0" w:firstRow="1" w:lastRow="0" w:firstColumn="1" w:lastColumn="0" w:noHBand="0" w:noVBand="1"/>
      </w:tblPr>
      <w:tblGrid>
        <w:gridCol w:w="1980"/>
        <w:gridCol w:w="2126"/>
        <w:gridCol w:w="2126"/>
        <w:gridCol w:w="2126"/>
      </w:tblGrid>
      <w:tr w:rsidR="008178C2" w:rsidRPr="008178C2" w14:paraId="00459518" w14:textId="77777777" w:rsidTr="008178C2">
        <w:trPr>
          <w:trHeight w:val="300"/>
          <w:jc w:val="center"/>
        </w:trPr>
        <w:tc>
          <w:tcPr>
            <w:tcW w:w="1980" w:type="dxa"/>
            <w:noWrap/>
          </w:tcPr>
          <w:p w14:paraId="684FCFFE" w14:textId="43B701BC" w:rsidR="008178C2" w:rsidRPr="003C2A58" w:rsidRDefault="008178C2" w:rsidP="003C2A58">
            <w:pPr>
              <w:jc w:val="right"/>
              <w:rPr>
                <w:rFonts w:ascii="Calibri" w:eastAsia="Times New Roman" w:hAnsi="Calibri" w:cs="Calibri"/>
                <w:color w:val="000000"/>
                <w:lang w:val="de-DE" w:eastAsia="de-DE"/>
              </w:rPr>
            </w:pPr>
            <w:r>
              <w:rPr>
                <w:rFonts w:ascii="Calibri" w:eastAsia="Times New Roman" w:hAnsi="Calibri" w:cs="Calibri"/>
                <w:color w:val="000000"/>
                <w:lang w:val="de-DE" w:eastAsia="de-DE"/>
              </w:rPr>
              <w:t xml:space="preserve">#Configured </w:t>
            </w:r>
            <w:proofErr w:type="spellStart"/>
            <w:r>
              <w:rPr>
                <w:rFonts w:ascii="Calibri" w:eastAsia="Times New Roman" w:hAnsi="Calibri" w:cs="Calibri"/>
                <w:color w:val="000000"/>
                <w:lang w:val="de-DE" w:eastAsia="de-DE"/>
              </w:rPr>
              <w:t>candidate</w:t>
            </w:r>
            <w:proofErr w:type="spellEnd"/>
            <w:r>
              <w:rPr>
                <w:rFonts w:ascii="Calibri" w:eastAsia="Times New Roman" w:hAnsi="Calibri" w:cs="Calibri"/>
                <w:color w:val="000000"/>
                <w:lang w:val="de-DE" w:eastAsia="de-DE"/>
              </w:rPr>
              <w:t xml:space="preserve"> </w:t>
            </w:r>
            <w:proofErr w:type="spellStart"/>
            <w:r>
              <w:rPr>
                <w:rFonts w:ascii="Calibri" w:eastAsia="Times New Roman" w:hAnsi="Calibri" w:cs="Calibri"/>
                <w:color w:val="000000"/>
                <w:lang w:val="de-DE" w:eastAsia="de-DE"/>
              </w:rPr>
              <w:t>cells</w:t>
            </w:r>
            <w:proofErr w:type="spellEnd"/>
          </w:p>
        </w:tc>
        <w:tc>
          <w:tcPr>
            <w:tcW w:w="2126" w:type="dxa"/>
          </w:tcPr>
          <w:p w14:paraId="726C6AF7" w14:textId="0E3E4348" w:rsidR="008178C2" w:rsidRPr="008178C2" w:rsidRDefault="008178C2" w:rsidP="003C2A58">
            <w:pPr>
              <w:jc w:val="right"/>
              <w:rPr>
                <w:rFonts w:ascii="Calibri" w:eastAsia="Times New Roman" w:hAnsi="Calibri" w:cs="Calibri"/>
                <w:color w:val="000000"/>
                <w:lang w:eastAsia="de-DE"/>
              </w:rPr>
            </w:pPr>
            <w:r w:rsidRPr="008178C2">
              <w:rPr>
                <w:rFonts w:ascii="Calibri" w:eastAsia="Times New Roman" w:hAnsi="Calibri" w:cs="Calibri"/>
                <w:color w:val="000000"/>
                <w:lang w:eastAsia="de-DE"/>
              </w:rPr>
              <w:t>Bit length used for LTM-</w:t>
            </w:r>
            <w:proofErr w:type="spellStart"/>
            <w:r w:rsidRPr="008178C2">
              <w:rPr>
                <w:rFonts w:ascii="Calibri" w:eastAsia="Times New Roman" w:hAnsi="Calibri" w:cs="Calibri"/>
                <w:color w:val="000000"/>
                <w:lang w:eastAsia="de-DE"/>
              </w:rPr>
              <w:t>CandidateId</w:t>
            </w:r>
            <w:proofErr w:type="spellEnd"/>
          </w:p>
        </w:tc>
        <w:tc>
          <w:tcPr>
            <w:tcW w:w="2126" w:type="dxa"/>
            <w:noWrap/>
          </w:tcPr>
          <w:p w14:paraId="58EB2B33" w14:textId="36CD0603" w:rsidR="008178C2" w:rsidRPr="008178C2" w:rsidRDefault="008178C2" w:rsidP="003C2A58">
            <w:pPr>
              <w:jc w:val="right"/>
              <w:rPr>
                <w:rFonts w:ascii="Calibri" w:eastAsia="Times New Roman" w:hAnsi="Calibri" w:cs="Calibri"/>
                <w:color w:val="000000"/>
                <w:lang w:eastAsia="de-DE"/>
              </w:rPr>
            </w:pPr>
            <w:r w:rsidRPr="008178C2">
              <w:rPr>
                <w:rFonts w:ascii="Calibri" w:eastAsia="Times New Roman" w:hAnsi="Calibri" w:cs="Calibri"/>
                <w:color w:val="000000"/>
                <w:lang w:eastAsia="de-DE"/>
              </w:rPr>
              <w:t>2^Bit length used for LTM-</w:t>
            </w:r>
            <w:proofErr w:type="spellStart"/>
            <w:r w:rsidRPr="008178C2">
              <w:rPr>
                <w:rFonts w:ascii="Calibri" w:eastAsia="Times New Roman" w:hAnsi="Calibri" w:cs="Calibri"/>
                <w:color w:val="000000"/>
                <w:lang w:eastAsia="de-DE"/>
              </w:rPr>
              <w:t>CandidateId</w:t>
            </w:r>
            <w:proofErr w:type="spellEnd"/>
          </w:p>
        </w:tc>
        <w:tc>
          <w:tcPr>
            <w:tcW w:w="2126" w:type="dxa"/>
            <w:noWrap/>
          </w:tcPr>
          <w:p w14:paraId="50E51AE5" w14:textId="382AD3B3" w:rsidR="008178C2" w:rsidRPr="008178C2" w:rsidRDefault="008178C2" w:rsidP="003C2A58">
            <w:pPr>
              <w:jc w:val="right"/>
              <w:rPr>
                <w:rFonts w:ascii="Calibri" w:eastAsia="Times New Roman" w:hAnsi="Calibri" w:cs="Calibri"/>
                <w:color w:val="000000"/>
                <w:lang w:eastAsia="de-DE"/>
              </w:rPr>
            </w:pPr>
            <w:r>
              <w:rPr>
                <w:rFonts w:ascii="Calibri" w:eastAsia="Times New Roman" w:hAnsi="Calibri" w:cs="Calibri"/>
                <w:color w:val="000000"/>
                <w:lang w:eastAsia="de-DE"/>
              </w:rPr>
              <w:t>Chances of success for an intruder</w:t>
            </w:r>
          </w:p>
        </w:tc>
      </w:tr>
      <w:tr w:rsidR="008178C2" w:rsidRPr="003C2A58" w14:paraId="75D92175" w14:textId="77777777" w:rsidTr="008178C2">
        <w:trPr>
          <w:trHeight w:val="300"/>
          <w:jc w:val="center"/>
        </w:trPr>
        <w:tc>
          <w:tcPr>
            <w:tcW w:w="1980" w:type="dxa"/>
            <w:noWrap/>
            <w:hideMark/>
          </w:tcPr>
          <w:p w14:paraId="27135289" w14:textId="77777777"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8</w:t>
            </w:r>
          </w:p>
        </w:tc>
        <w:tc>
          <w:tcPr>
            <w:tcW w:w="2126" w:type="dxa"/>
          </w:tcPr>
          <w:p w14:paraId="60BEAD1A" w14:textId="63FC368C" w:rsidR="008178C2" w:rsidRPr="003C2A58" w:rsidRDefault="008178C2" w:rsidP="003C2A58">
            <w:pPr>
              <w:jc w:val="right"/>
              <w:rPr>
                <w:rFonts w:ascii="Calibri" w:eastAsia="Times New Roman" w:hAnsi="Calibri" w:cs="Calibri"/>
                <w:color w:val="000000"/>
                <w:lang w:val="de-DE" w:eastAsia="de-DE"/>
              </w:rPr>
            </w:pPr>
            <w:r>
              <w:rPr>
                <w:rFonts w:ascii="Calibri" w:eastAsia="Times New Roman" w:hAnsi="Calibri" w:cs="Calibri"/>
                <w:color w:val="000000"/>
                <w:lang w:val="de-DE" w:eastAsia="de-DE"/>
              </w:rPr>
              <w:t>3</w:t>
            </w:r>
          </w:p>
        </w:tc>
        <w:tc>
          <w:tcPr>
            <w:tcW w:w="2126" w:type="dxa"/>
            <w:noWrap/>
            <w:hideMark/>
          </w:tcPr>
          <w:p w14:paraId="2B521D26" w14:textId="445089AE"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8</w:t>
            </w:r>
          </w:p>
        </w:tc>
        <w:tc>
          <w:tcPr>
            <w:tcW w:w="2126" w:type="dxa"/>
            <w:noWrap/>
            <w:hideMark/>
          </w:tcPr>
          <w:p w14:paraId="08350A4F" w14:textId="77777777"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100,0000%</w:t>
            </w:r>
          </w:p>
        </w:tc>
      </w:tr>
      <w:tr w:rsidR="008178C2" w:rsidRPr="003C2A58" w14:paraId="45F596B6" w14:textId="77777777" w:rsidTr="008178C2">
        <w:trPr>
          <w:trHeight w:val="300"/>
          <w:jc w:val="center"/>
        </w:trPr>
        <w:tc>
          <w:tcPr>
            <w:tcW w:w="1980" w:type="dxa"/>
            <w:noWrap/>
            <w:hideMark/>
          </w:tcPr>
          <w:p w14:paraId="25E57E84" w14:textId="77777777"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8</w:t>
            </w:r>
          </w:p>
        </w:tc>
        <w:tc>
          <w:tcPr>
            <w:tcW w:w="2126" w:type="dxa"/>
          </w:tcPr>
          <w:p w14:paraId="3F8DA54C" w14:textId="5DC577F1" w:rsidR="008178C2" w:rsidRPr="003C2A58" w:rsidRDefault="008178C2" w:rsidP="003C2A58">
            <w:pPr>
              <w:jc w:val="right"/>
              <w:rPr>
                <w:rFonts w:ascii="Calibri" w:eastAsia="Times New Roman" w:hAnsi="Calibri" w:cs="Calibri"/>
                <w:color w:val="000000"/>
                <w:lang w:val="de-DE" w:eastAsia="de-DE"/>
              </w:rPr>
            </w:pPr>
            <w:r>
              <w:rPr>
                <w:rFonts w:ascii="Calibri" w:eastAsia="Times New Roman" w:hAnsi="Calibri" w:cs="Calibri"/>
                <w:color w:val="000000"/>
                <w:lang w:val="de-DE" w:eastAsia="de-DE"/>
              </w:rPr>
              <w:t>8</w:t>
            </w:r>
          </w:p>
        </w:tc>
        <w:tc>
          <w:tcPr>
            <w:tcW w:w="2126" w:type="dxa"/>
            <w:noWrap/>
            <w:hideMark/>
          </w:tcPr>
          <w:p w14:paraId="70334EEA" w14:textId="0E03B6EF"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256</w:t>
            </w:r>
          </w:p>
        </w:tc>
        <w:tc>
          <w:tcPr>
            <w:tcW w:w="2126" w:type="dxa"/>
            <w:noWrap/>
            <w:hideMark/>
          </w:tcPr>
          <w:p w14:paraId="7B67535A" w14:textId="77777777"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3,1250%</w:t>
            </w:r>
          </w:p>
        </w:tc>
      </w:tr>
      <w:tr w:rsidR="008178C2" w:rsidRPr="003C2A58" w14:paraId="074EA67A" w14:textId="77777777" w:rsidTr="008178C2">
        <w:trPr>
          <w:trHeight w:val="300"/>
          <w:jc w:val="center"/>
        </w:trPr>
        <w:tc>
          <w:tcPr>
            <w:tcW w:w="1980" w:type="dxa"/>
            <w:noWrap/>
            <w:hideMark/>
          </w:tcPr>
          <w:p w14:paraId="79A3970F" w14:textId="77777777"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8</w:t>
            </w:r>
          </w:p>
        </w:tc>
        <w:tc>
          <w:tcPr>
            <w:tcW w:w="2126" w:type="dxa"/>
          </w:tcPr>
          <w:p w14:paraId="204F5FF6" w14:textId="7557B6C3" w:rsidR="008178C2" w:rsidRPr="003C2A58" w:rsidRDefault="008178C2" w:rsidP="003C2A58">
            <w:pPr>
              <w:jc w:val="right"/>
              <w:rPr>
                <w:rFonts w:ascii="Calibri" w:eastAsia="Times New Roman" w:hAnsi="Calibri" w:cs="Calibri"/>
                <w:color w:val="000000"/>
                <w:lang w:val="de-DE" w:eastAsia="de-DE"/>
              </w:rPr>
            </w:pPr>
            <w:r>
              <w:rPr>
                <w:rFonts w:ascii="Calibri" w:eastAsia="Times New Roman" w:hAnsi="Calibri" w:cs="Calibri"/>
                <w:color w:val="000000"/>
                <w:lang w:val="de-DE" w:eastAsia="de-DE"/>
              </w:rPr>
              <w:t>10</w:t>
            </w:r>
          </w:p>
        </w:tc>
        <w:tc>
          <w:tcPr>
            <w:tcW w:w="2126" w:type="dxa"/>
            <w:noWrap/>
            <w:hideMark/>
          </w:tcPr>
          <w:p w14:paraId="13E71D94" w14:textId="380B3079"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1024</w:t>
            </w:r>
          </w:p>
        </w:tc>
        <w:tc>
          <w:tcPr>
            <w:tcW w:w="2126" w:type="dxa"/>
            <w:noWrap/>
            <w:hideMark/>
          </w:tcPr>
          <w:p w14:paraId="24666573" w14:textId="77777777"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0,7813%</w:t>
            </w:r>
          </w:p>
        </w:tc>
      </w:tr>
      <w:tr w:rsidR="008178C2" w:rsidRPr="003C2A58" w14:paraId="20C51E65" w14:textId="77777777" w:rsidTr="008178C2">
        <w:trPr>
          <w:trHeight w:val="300"/>
          <w:jc w:val="center"/>
        </w:trPr>
        <w:tc>
          <w:tcPr>
            <w:tcW w:w="1980" w:type="dxa"/>
            <w:noWrap/>
            <w:hideMark/>
          </w:tcPr>
          <w:p w14:paraId="6F55448C" w14:textId="77777777"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8</w:t>
            </w:r>
          </w:p>
        </w:tc>
        <w:tc>
          <w:tcPr>
            <w:tcW w:w="2126" w:type="dxa"/>
          </w:tcPr>
          <w:p w14:paraId="30847152" w14:textId="678ABB9C" w:rsidR="008178C2" w:rsidRPr="003C2A58" w:rsidRDefault="008178C2" w:rsidP="003C2A58">
            <w:pPr>
              <w:jc w:val="right"/>
              <w:rPr>
                <w:rFonts w:ascii="Calibri" w:eastAsia="Times New Roman" w:hAnsi="Calibri" w:cs="Calibri"/>
                <w:color w:val="000000"/>
                <w:lang w:val="de-DE" w:eastAsia="de-DE"/>
              </w:rPr>
            </w:pPr>
            <w:r>
              <w:rPr>
                <w:rFonts w:ascii="Calibri" w:eastAsia="Times New Roman" w:hAnsi="Calibri" w:cs="Calibri"/>
                <w:color w:val="000000"/>
                <w:lang w:val="de-DE" w:eastAsia="de-DE"/>
              </w:rPr>
              <w:t>16</w:t>
            </w:r>
          </w:p>
        </w:tc>
        <w:tc>
          <w:tcPr>
            <w:tcW w:w="2126" w:type="dxa"/>
            <w:noWrap/>
            <w:hideMark/>
          </w:tcPr>
          <w:p w14:paraId="3533B1D6" w14:textId="20211738"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65536</w:t>
            </w:r>
          </w:p>
        </w:tc>
        <w:tc>
          <w:tcPr>
            <w:tcW w:w="2126" w:type="dxa"/>
            <w:noWrap/>
            <w:hideMark/>
          </w:tcPr>
          <w:p w14:paraId="1B3A25B4" w14:textId="77777777" w:rsidR="008178C2" w:rsidRPr="003C2A58" w:rsidRDefault="008178C2" w:rsidP="003C2A58">
            <w:pPr>
              <w:jc w:val="right"/>
              <w:rPr>
                <w:rFonts w:ascii="Calibri" w:eastAsia="Times New Roman" w:hAnsi="Calibri" w:cs="Calibri"/>
                <w:color w:val="000000"/>
                <w:lang w:val="de-DE" w:eastAsia="de-DE"/>
              </w:rPr>
            </w:pPr>
            <w:r w:rsidRPr="003C2A58">
              <w:rPr>
                <w:rFonts w:ascii="Calibri" w:eastAsia="Times New Roman" w:hAnsi="Calibri" w:cs="Calibri"/>
                <w:color w:val="000000"/>
                <w:lang w:val="de-DE" w:eastAsia="de-DE"/>
              </w:rPr>
              <w:t>0,0122%</w:t>
            </w:r>
          </w:p>
        </w:tc>
      </w:tr>
    </w:tbl>
    <w:p w14:paraId="22CC0203" w14:textId="30DA7642" w:rsidR="003C2A58" w:rsidRDefault="003C2A58" w:rsidP="00DC61C1">
      <w:pPr>
        <w:pStyle w:val="Proposal"/>
        <w:numPr>
          <w:ilvl w:val="0"/>
          <w:numId w:val="0"/>
        </w:numPr>
        <w:rPr>
          <w:rFonts w:ascii="Garamond" w:hAnsi="Garamond"/>
        </w:rPr>
      </w:pPr>
    </w:p>
    <w:p w14:paraId="7A1D14D2" w14:textId="79CD46BC" w:rsidR="00D61992" w:rsidRDefault="00D61992" w:rsidP="00D61992">
      <w:pPr>
        <w:pStyle w:val="Proposal"/>
        <w:rPr>
          <w:rFonts w:ascii="Garamond" w:hAnsi="Garamond"/>
        </w:rPr>
      </w:pPr>
      <w:r>
        <w:rPr>
          <w:rFonts w:ascii="Garamond" w:hAnsi="Garamond"/>
        </w:rPr>
        <w:t xml:space="preserve">RAN2 to discuss appropriate </w:t>
      </w:r>
      <w:r w:rsidRPr="00D61992">
        <w:rPr>
          <w:rFonts w:ascii="Garamond" w:hAnsi="Garamond"/>
        </w:rPr>
        <w:t>bit-length for candidate cell index and ensure that the index is allocated randomly.</w:t>
      </w:r>
    </w:p>
    <w:p w14:paraId="531F8B4A" w14:textId="7C2F6C6C" w:rsidR="00AE2AE9" w:rsidRDefault="00AE2AE9" w:rsidP="00AE2AE9">
      <w:pPr>
        <w:pStyle w:val="Proposal"/>
        <w:numPr>
          <w:ilvl w:val="0"/>
          <w:numId w:val="0"/>
        </w:numPr>
        <w:rPr>
          <w:rFonts w:ascii="Garamond" w:hAnsi="Garamond"/>
        </w:rPr>
      </w:pPr>
    </w:p>
    <w:p w14:paraId="425F6392" w14:textId="5CDC083A" w:rsidR="00AE2AE9" w:rsidRPr="00BD2912" w:rsidRDefault="00AE2AE9" w:rsidP="00AE2AE9">
      <w:pPr>
        <w:pStyle w:val="Proposal"/>
        <w:numPr>
          <w:ilvl w:val="0"/>
          <w:numId w:val="0"/>
        </w:numPr>
        <w:rPr>
          <w:rFonts w:ascii="Garamond" w:hAnsi="Garamond"/>
          <w:sz w:val="28"/>
          <w:szCs w:val="28"/>
          <w:u w:val="single"/>
        </w:rPr>
      </w:pPr>
      <w:r w:rsidRPr="00BD2912">
        <w:rPr>
          <w:rFonts w:ascii="Garamond" w:hAnsi="Garamond"/>
          <w:sz w:val="28"/>
          <w:szCs w:val="28"/>
          <w:u w:val="single"/>
        </w:rPr>
        <w:t>Arrival announcement on the Target cell</w:t>
      </w:r>
    </w:p>
    <w:p w14:paraId="5D3C0816" w14:textId="77777777" w:rsidR="000834A2" w:rsidRDefault="000834A2" w:rsidP="00AE2AE9">
      <w:pPr>
        <w:pStyle w:val="Proposal"/>
        <w:numPr>
          <w:ilvl w:val="0"/>
          <w:numId w:val="0"/>
        </w:numPr>
        <w:rPr>
          <w:rFonts w:ascii="Garamond" w:hAnsi="Garamond"/>
          <w:b w:val="0"/>
          <w:bCs w:val="0"/>
        </w:rPr>
      </w:pPr>
      <w:r w:rsidRPr="000834A2">
        <w:rPr>
          <w:rFonts w:ascii="Garamond" w:hAnsi="Garamond"/>
          <w:b w:val="0"/>
          <w:bCs w:val="0"/>
        </w:rPr>
        <w:t>A target network may provide both CG (Configured Grant) and DG (Dynamic Grant) resources to the UE anticipated to arrive in the cell and when so, sometimes UE might not be able to determine successful reception of its first UL data by merely receiving a PDCCH addressing the UE’s C-RNTI in the target cell. This may happen if by receiving a PDCCH addressing the UE’s C-RNTI in the target cell, UE is still unable to determine if target pro-actively scheduled a new UL transmission or if the said UL grant is indeed because of successful reception of handover complete message (</w:t>
      </w:r>
      <w:proofErr w:type="spellStart"/>
      <w:r w:rsidRPr="00F368AC">
        <w:rPr>
          <w:rFonts w:ascii="Garamond" w:hAnsi="Garamond"/>
          <w:b w:val="0"/>
          <w:bCs w:val="0"/>
          <w:i/>
          <w:iCs/>
        </w:rPr>
        <w:t>RRCReconfigurationComplete</w:t>
      </w:r>
      <w:proofErr w:type="spellEnd"/>
      <w:r w:rsidRPr="000834A2">
        <w:rPr>
          <w:rFonts w:ascii="Garamond" w:hAnsi="Garamond"/>
          <w:b w:val="0"/>
          <w:bCs w:val="0"/>
        </w:rPr>
        <w:t>) at the target cell.</w:t>
      </w:r>
    </w:p>
    <w:p w14:paraId="0034766F" w14:textId="41E9D669" w:rsidR="00AE2AE9" w:rsidRDefault="007132C8" w:rsidP="00AE2AE9">
      <w:pPr>
        <w:pStyle w:val="Proposal"/>
        <w:numPr>
          <w:ilvl w:val="0"/>
          <w:numId w:val="0"/>
        </w:numPr>
        <w:rPr>
          <w:rFonts w:ascii="Garamond" w:hAnsi="Garamond"/>
          <w:b w:val="0"/>
          <w:bCs w:val="0"/>
        </w:rPr>
      </w:pPr>
      <w:r>
        <w:rPr>
          <w:rFonts w:ascii="Garamond" w:hAnsi="Garamond"/>
          <w:b w:val="0"/>
          <w:bCs w:val="0"/>
        </w:rPr>
        <w:t xml:space="preserve">This can be remedied using the principle used already in MAC specification e.g., for BFR recovery cases: </w:t>
      </w:r>
      <w:r w:rsidR="00C441A9" w:rsidRPr="00C441A9">
        <w:rPr>
          <w:rFonts w:ascii="Garamond" w:hAnsi="Garamond"/>
          <w:b w:val="0"/>
          <w:bCs w:val="0"/>
        </w:rPr>
        <w:t>UE transmits handover completion message to the target cell using an UL grant (CG or DG) and if a PDCCH addressed to C-RNTI indicating uplink grant for a new transmission is received for the HARQ process used for the transmission of the handover completion message, UE determines that the target cell has received handover completion message.</w:t>
      </w:r>
      <w:r w:rsidR="00C70BCF">
        <w:rPr>
          <w:rFonts w:ascii="Garamond" w:hAnsi="Garamond"/>
          <w:b w:val="0"/>
          <w:bCs w:val="0"/>
        </w:rPr>
        <w:t xml:space="preserve"> So, we propose:</w:t>
      </w:r>
    </w:p>
    <w:p w14:paraId="42D349F1" w14:textId="77777777" w:rsidR="00C70BCF" w:rsidRPr="00C441A9" w:rsidRDefault="00C70BCF" w:rsidP="00AE2AE9">
      <w:pPr>
        <w:pStyle w:val="Proposal"/>
        <w:numPr>
          <w:ilvl w:val="0"/>
          <w:numId w:val="0"/>
        </w:numPr>
        <w:rPr>
          <w:rFonts w:ascii="Garamond" w:hAnsi="Garamond"/>
          <w:b w:val="0"/>
          <w:bCs w:val="0"/>
        </w:rPr>
      </w:pPr>
    </w:p>
    <w:p w14:paraId="47F79F69" w14:textId="664D718C" w:rsidR="00D61992" w:rsidRDefault="000202D7" w:rsidP="00C70BCF">
      <w:pPr>
        <w:pStyle w:val="Proposal"/>
        <w:rPr>
          <w:rFonts w:ascii="Garamond" w:hAnsi="Garamond"/>
        </w:rPr>
      </w:pPr>
      <w:r w:rsidRPr="00C70BCF">
        <w:rPr>
          <w:rFonts w:ascii="Garamond" w:hAnsi="Garamond"/>
        </w:rPr>
        <w:t>UE determines that the target cell has received handover completion message</w:t>
      </w:r>
      <w:r>
        <w:rPr>
          <w:rFonts w:ascii="Garamond" w:hAnsi="Garamond"/>
        </w:rPr>
        <w:t xml:space="preserve"> i</w:t>
      </w:r>
      <w:r w:rsidR="00C70BCF" w:rsidRPr="00C70BCF">
        <w:rPr>
          <w:rFonts w:ascii="Garamond" w:hAnsi="Garamond"/>
        </w:rPr>
        <w:t>f a PDCCH addressed to C-RNTI indicating uplink grant for a new transmission is received for the HARQ process used for the transmission of the handover completion message</w:t>
      </w:r>
      <w:r w:rsidR="00C70BCF">
        <w:rPr>
          <w:rFonts w:ascii="Garamond" w:hAnsi="Garamond"/>
        </w:rPr>
        <w:t>.</w:t>
      </w:r>
    </w:p>
    <w:p w14:paraId="440A085D" w14:textId="4FEF9EF7" w:rsidR="00240C64" w:rsidRDefault="00240C64" w:rsidP="00240C64">
      <w:pPr>
        <w:pStyle w:val="Proposal"/>
        <w:numPr>
          <w:ilvl w:val="0"/>
          <w:numId w:val="0"/>
        </w:numPr>
        <w:rPr>
          <w:rFonts w:ascii="Garamond" w:hAnsi="Garamond"/>
        </w:rPr>
      </w:pPr>
    </w:p>
    <w:p w14:paraId="13F3A9C9" w14:textId="34D21548" w:rsidR="00CC657E" w:rsidRDefault="00CC657E" w:rsidP="00240C64">
      <w:pPr>
        <w:pStyle w:val="Proposal"/>
        <w:numPr>
          <w:ilvl w:val="0"/>
          <w:numId w:val="0"/>
        </w:numPr>
        <w:rPr>
          <w:rFonts w:ascii="Garamond" w:hAnsi="Garamond"/>
          <w:b w:val="0"/>
          <w:bCs w:val="0"/>
          <w:lang w:val="en-US"/>
        </w:rPr>
      </w:pPr>
      <w:r>
        <w:rPr>
          <w:rFonts w:ascii="Garamond" w:hAnsi="Garamond"/>
          <w:b w:val="0"/>
          <w:bCs w:val="0"/>
          <w:lang w:val="en-US"/>
        </w:rPr>
        <w:t xml:space="preserve">However, what if </w:t>
      </w:r>
      <w:r w:rsidRPr="008F5C83">
        <w:rPr>
          <w:rFonts w:ascii="Garamond" w:hAnsi="Garamond"/>
          <w:b w:val="0"/>
          <w:bCs w:val="0"/>
          <w:lang w:val="en-US"/>
        </w:rPr>
        <w:t xml:space="preserve">uplink grant for </w:t>
      </w:r>
      <w:r>
        <w:rPr>
          <w:rFonts w:ascii="Garamond" w:hAnsi="Garamond"/>
          <w:b w:val="0"/>
          <w:bCs w:val="0"/>
          <w:lang w:val="en-US"/>
        </w:rPr>
        <w:t xml:space="preserve">a </w:t>
      </w:r>
      <w:r w:rsidRPr="008F5C83">
        <w:rPr>
          <w:rFonts w:ascii="Garamond" w:hAnsi="Garamond"/>
          <w:b w:val="0"/>
          <w:bCs w:val="0"/>
          <w:lang w:val="en-US"/>
        </w:rPr>
        <w:t xml:space="preserve">new transmission </w:t>
      </w:r>
      <w:r>
        <w:rPr>
          <w:rFonts w:ascii="Garamond" w:hAnsi="Garamond"/>
          <w:b w:val="0"/>
          <w:bCs w:val="0"/>
          <w:lang w:val="en-US"/>
        </w:rPr>
        <w:t xml:space="preserve">is for </w:t>
      </w:r>
      <w:r w:rsidRPr="008F5C83">
        <w:rPr>
          <w:rFonts w:ascii="Garamond" w:hAnsi="Garamond"/>
          <w:b w:val="0"/>
          <w:bCs w:val="0"/>
          <w:lang w:val="en-US"/>
        </w:rPr>
        <w:t>a HARQ process Id different from one used for the transmission of the handover completion message</w:t>
      </w:r>
      <w:r>
        <w:rPr>
          <w:rFonts w:ascii="Garamond" w:hAnsi="Garamond"/>
          <w:b w:val="0"/>
          <w:bCs w:val="0"/>
          <w:lang w:val="en-US"/>
        </w:rPr>
        <w:t>?</w:t>
      </w:r>
    </w:p>
    <w:p w14:paraId="7A8734E2" w14:textId="5C080D6F" w:rsidR="00CC657E" w:rsidRDefault="00CC657E" w:rsidP="00240C64">
      <w:pPr>
        <w:pStyle w:val="Proposal"/>
        <w:numPr>
          <w:ilvl w:val="0"/>
          <w:numId w:val="0"/>
        </w:numPr>
        <w:rPr>
          <w:rFonts w:ascii="Garamond" w:hAnsi="Garamond"/>
          <w:b w:val="0"/>
          <w:bCs w:val="0"/>
          <w:lang w:val="en-US"/>
        </w:rPr>
      </w:pPr>
      <w:r>
        <w:rPr>
          <w:rFonts w:ascii="Garamond" w:hAnsi="Garamond"/>
          <w:b w:val="0"/>
          <w:bCs w:val="0"/>
          <w:lang w:val="en-US"/>
        </w:rPr>
        <w:t>Following 2 options exist:</w:t>
      </w:r>
    </w:p>
    <w:p w14:paraId="36B25900" w14:textId="3BF842BA" w:rsidR="00240C64" w:rsidRDefault="008F5C83" w:rsidP="00CC657E">
      <w:pPr>
        <w:pStyle w:val="Proposal"/>
        <w:numPr>
          <w:ilvl w:val="0"/>
          <w:numId w:val="31"/>
        </w:numPr>
        <w:rPr>
          <w:rFonts w:ascii="Garamond" w:hAnsi="Garamond"/>
          <w:b w:val="0"/>
          <w:bCs w:val="0"/>
          <w:lang w:val="en-US"/>
        </w:rPr>
      </w:pPr>
      <w:r w:rsidRPr="008F5C83">
        <w:rPr>
          <w:rFonts w:ascii="Garamond" w:hAnsi="Garamond"/>
          <w:b w:val="0"/>
          <w:bCs w:val="0"/>
          <w:lang w:val="en-US"/>
        </w:rPr>
        <w:t>UE simply ignore the dynamic grant.</w:t>
      </w:r>
    </w:p>
    <w:p w14:paraId="3E24BD86" w14:textId="2443AA35" w:rsidR="00CC657E" w:rsidRDefault="00CC657E" w:rsidP="00CC657E">
      <w:pPr>
        <w:pStyle w:val="Proposal"/>
        <w:numPr>
          <w:ilvl w:val="0"/>
          <w:numId w:val="31"/>
        </w:numPr>
        <w:rPr>
          <w:rFonts w:ascii="Garamond" w:hAnsi="Garamond"/>
          <w:b w:val="0"/>
          <w:bCs w:val="0"/>
          <w:lang w:val="en-US"/>
        </w:rPr>
      </w:pPr>
      <w:r>
        <w:rPr>
          <w:rFonts w:ascii="Garamond" w:hAnsi="Garamond"/>
          <w:b w:val="0"/>
          <w:bCs w:val="0"/>
          <w:lang w:val="en-US"/>
        </w:rPr>
        <w:t xml:space="preserve">UE sends another handover complete confirmation and since it is not easy to resend the </w:t>
      </w:r>
      <w:proofErr w:type="spellStart"/>
      <w:r>
        <w:rPr>
          <w:rFonts w:ascii="Garamond" w:hAnsi="Garamond"/>
          <w:b w:val="0"/>
          <w:bCs w:val="0"/>
          <w:lang w:val="en-US"/>
        </w:rPr>
        <w:t>RRCReconfigurationComplete</w:t>
      </w:r>
      <w:proofErr w:type="spellEnd"/>
      <w:r>
        <w:rPr>
          <w:rFonts w:ascii="Garamond" w:hAnsi="Garamond"/>
          <w:b w:val="0"/>
          <w:bCs w:val="0"/>
          <w:lang w:val="en-US"/>
        </w:rPr>
        <w:t>, a simple alternative could be to transmit a MAC CE e.g., a C-RNTI MAC CE, where RNTI is the one allocated by the intended target cell to which the UE is transmitting the handover complete confirmation.</w:t>
      </w:r>
    </w:p>
    <w:p w14:paraId="52E57AD9" w14:textId="2DEDEEAE" w:rsidR="00CC657E" w:rsidRPr="00CC657E" w:rsidRDefault="00CC657E" w:rsidP="00CC657E">
      <w:pPr>
        <w:rPr>
          <w:rFonts w:ascii="Garamond" w:hAnsi="Garamond"/>
          <w:sz w:val="20"/>
          <w:szCs w:val="20"/>
        </w:rPr>
      </w:pPr>
      <w:r w:rsidRPr="00CC657E">
        <w:rPr>
          <w:rFonts w:ascii="Garamond" w:hAnsi="Garamond"/>
          <w:sz w:val="20"/>
          <w:szCs w:val="20"/>
        </w:rPr>
        <w:t>We think that ignoring the dynamic grant is not useful as this delays the UE’s arrival in the target cell since the UE depends then only on the CG resources for retransmissions (in a CGRT like mechanism). Therefore:</w:t>
      </w:r>
    </w:p>
    <w:p w14:paraId="1BEA5C3C" w14:textId="4CC29D0E" w:rsidR="00CC657E" w:rsidRPr="00CC657E" w:rsidRDefault="00CC657E" w:rsidP="00CC657E">
      <w:pPr>
        <w:pStyle w:val="Proposal"/>
        <w:rPr>
          <w:rFonts w:ascii="Garamond" w:hAnsi="Garamond"/>
        </w:rPr>
      </w:pPr>
      <w:r>
        <w:rPr>
          <w:rFonts w:ascii="Garamond" w:hAnsi="Garamond"/>
        </w:rPr>
        <w:t>I</w:t>
      </w:r>
      <w:r w:rsidRPr="00CC657E">
        <w:rPr>
          <w:rFonts w:ascii="Garamond" w:hAnsi="Garamond"/>
        </w:rPr>
        <w:t>f uplink grant for a new transmission is for a HARQ process Id different from one used for the transmission of the handover completion message</w:t>
      </w:r>
      <w:r w:rsidRPr="00CC657E">
        <w:rPr>
          <w:rFonts w:ascii="Garamond" w:hAnsi="Garamond"/>
        </w:rPr>
        <w:t xml:space="preserve">, UE shall use the grant to transmit </w:t>
      </w:r>
      <w:r w:rsidRPr="00CC657E">
        <w:rPr>
          <w:rFonts w:ascii="Garamond" w:hAnsi="Garamond"/>
        </w:rPr>
        <w:t>a C-RNTI MAC CE</w:t>
      </w:r>
      <w:r w:rsidRPr="00CC657E">
        <w:rPr>
          <w:rFonts w:ascii="Garamond" w:hAnsi="Garamond"/>
        </w:rPr>
        <w:t xml:space="preserve">, </w:t>
      </w:r>
      <w:r w:rsidRPr="00CC657E">
        <w:rPr>
          <w:rFonts w:ascii="Garamond" w:hAnsi="Garamond"/>
        </w:rPr>
        <w:t>where RNTI is the one allocated by the intended target cell</w:t>
      </w:r>
      <w:r w:rsidRPr="00CC657E">
        <w:rPr>
          <w:rFonts w:ascii="Garamond" w:hAnsi="Garamond"/>
        </w:rPr>
        <w:t>.</w:t>
      </w:r>
    </w:p>
    <w:p w14:paraId="185FB279" w14:textId="637134B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6D6FC935" w:rsidR="00CE5633" w:rsidRPr="00742E3F" w:rsidRDefault="00D40CED" w:rsidP="00D40CED">
      <w:pPr>
        <w:rPr>
          <w:rFonts w:ascii="Garamond" w:hAnsi="Garamond" w:cs="Times New Roman"/>
          <w:sz w:val="20"/>
          <w:szCs w:val="20"/>
        </w:rPr>
      </w:pPr>
      <w:r w:rsidRPr="00A7299E">
        <w:rPr>
          <w:rFonts w:ascii="Garamond" w:hAnsi="Garamond"/>
          <w:sz w:val="20"/>
          <w:szCs w:val="20"/>
        </w:rPr>
        <w:t xml:space="preserve">This paper </w:t>
      </w:r>
      <w:r>
        <w:rPr>
          <w:rFonts w:ascii="Garamond" w:hAnsi="Garamond"/>
          <w:sz w:val="20"/>
          <w:szCs w:val="20"/>
        </w:rPr>
        <w:t>went</w:t>
      </w:r>
      <w:r w:rsidRPr="00A7299E">
        <w:rPr>
          <w:rFonts w:ascii="Garamond" w:hAnsi="Garamond"/>
          <w:sz w:val="20"/>
          <w:szCs w:val="20"/>
        </w:rPr>
        <w:t xml:space="preserve"> in the details of </w:t>
      </w:r>
      <w:r w:rsidR="00FE02BE">
        <w:rPr>
          <w:rFonts w:ascii="Garamond" w:hAnsi="Garamond"/>
          <w:sz w:val="20"/>
          <w:szCs w:val="20"/>
        </w:rPr>
        <w:t xml:space="preserve">cell switch </w:t>
      </w:r>
      <w:r w:rsidRPr="00A7299E">
        <w:rPr>
          <w:rFonts w:ascii="Garamond" w:hAnsi="Garamond"/>
          <w:sz w:val="20"/>
          <w:szCs w:val="20"/>
        </w:rPr>
        <w:t xml:space="preserve">procedure and </w:t>
      </w:r>
      <w:r w:rsidR="009272E2">
        <w:rPr>
          <w:rFonts w:ascii="Garamond" w:hAnsi="Garamond"/>
          <w:sz w:val="20"/>
          <w:szCs w:val="20"/>
        </w:rPr>
        <w:t>addresses some remaining issues</w:t>
      </w:r>
      <w:r w:rsidRPr="00A7299E">
        <w:rPr>
          <w:rFonts w:ascii="Garamond" w:hAnsi="Garamond"/>
          <w:sz w:val="20"/>
          <w:szCs w:val="20"/>
        </w:rPr>
        <w:t>.</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15692120" w14:textId="77777777" w:rsidR="0043506E" w:rsidRPr="008145CA" w:rsidRDefault="0043506E" w:rsidP="0043506E">
      <w:pPr>
        <w:pStyle w:val="Proposal"/>
        <w:numPr>
          <w:ilvl w:val="0"/>
          <w:numId w:val="0"/>
        </w:numPr>
        <w:rPr>
          <w:rFonts w:ascii="Garamond" w:hAnsi="Garamond"/>
          <w:sz w:val="28"/>
          <w:szCs w:val="28"/>
          <w:u w:val="single"/>
        </w:rPr>
      </w:pPr>
      <w:r w:rsidRPr="008145CA">
        <w:rPr>
          <w:rFonts w:ascii="Garamond" w:hAnsi="Garamond"/>
          <w:sz w:val="28"/>
          <w:szCs w:val="28"/>
          <w:u w:val="single"/>
        </w:rPr>
        <w:t>Reusing Early TA</w:t>
      </w:r>
    </w:p>
    <w:p w14:paraId="299CCC1C" w14:textId="77777777" w:rsidR="00DF448E" w:rsidRPr="00DF448E" w:rsidRDefault="00DF448E" w:rsidP="00DF448E">
      <w:pPr>
        <w:rPr>
          <w:rFonts w:ascii="Garamond" w:hAnsi="Garamond"/>
          <w:b/>
          <w:bCs/>
        </w:rPr>
      </w:pPr>
      <w:r w:rsidRPr="00DF448E">
        <w:rPr>
          <w:rFonts w:ascii="Garamond" w:hAnsi="Garamond"/>
          <w:b/>
          <w:bCs/>
        </w:rPr>
        <w:t>Proposal 1: Source cell may provide the valid timing advance value(s) (Nta) of candidate cell(s) to target cell when receiving successful handover confirmation from it (i.e., upon UE’s arrival on the target side).</w:t>
      </w:r>
    </w:p>
    <w:p w14:paraId="7F4F2383" w14:textId="77777777" w:rsidR="00DF448E" w:rsidRPr="00DF448E" w:rsidRDefault="00DF448E" w:rsidP="00DF448E">
      <w:pPr>
        <w:rPr>
          <w:rFonts w:ascii="Garamond" w:hAnsi="Garamond"/>
          <w:b/>
          <w:bCs/>
        </w:rPr>
      </w:pPr>
      <w:r w:rsidRPr="00DF448E">
        <w:rPr>
          <w:rFonts w:ascii="Garamond" w:hAnsi="Garamond"/>
          <w:b/>
          <w:bCs/>
        </w:rPr>
        <w:t xml:space="preserve">Proposal 2: A target cell (which becomes Source cell) may transmit PDCCH order once it determines that the TA received from source cell is not valid anymore. </w:t>
      </w:r>
    </w:p>
    <w:p w14:paraId="231E273B" w14:textId="77777777" w:rsidR="0043506E" w:rsidRPr="0016729E" w:rsidRDefault="0043506E" w:rsidP="0043506E">
      <w:pPr>
        <w:pStyle w:val="Proposal"/>
        <w:numPr>
          <w:ilvl w:val="0"/>
          <w:numId w:val="0"/>
        </w:numPr>
        <w:rPr>
          <w:rFonts w:ascii="Garamond" w:hAnsi="Garamond"/>
          <w:sz w:val="28"/>
          <w:szCs w:val="28"/>
          <w:u w:val="single"/>
        </w:rPr>
      </w:pPr>
      <w:r w:rsidRPr="0016729E">
        <w:rPr>
          <w:rFonts w:ascii="Garamond" w:hAnsi="Garamond"/>
          <w:sz w:val="28"/>
          <w:szCs w:val="28"/>
          <w:u w:val="single"/>
        </w:rPr>
        <w:t>Cell switch command</w:t>
      </w:r>
      <w:r>
        <w:rPr>
          <w:rFonts w:ascii="Garamond" w:hAnsi="Garamond"/>
          <w:sz w:val="28"/>
          <w:szCs w:val="28"/>
          <w:u w:val="single"/>
        </w:rPr>
        <w:t xml:space="preserve"> robustness and security</w:t>
      </w:r>
    </w:p>
    <w:p w14:paraId="4C415CF0" w14:textId="6C66801E" w:rsidR="00DF448E" w:rsidRPr="00DF448E" w:rsidRDefault="00DF448E" w:rsidP="00DF448E">
      <w:pPr>
        <w:rPr>
          <w:rFonts w:ascii="Garamond" w:hAnsi="Garamond"/>
          <w:b/>
          <w:bCs/>
        </w:rPr>
      </w:pPr>
      <w:r w:rsidRPr="00DF448E">
        <w:rPr>
          <w:rFonts w:ascii="Garamond" w:hAnsi="Garamond"/>
          <w:b/>
          <w:bCs/>
        </w:rPr>
        <w:t xml:space="preserve">Proposal </w:t>
      </w:r>
      <w:r w:rsidR="002F7E91">
        <w:rPr>
          <w:rFonts w:ascii="Garamond" w:hAnsi="Garamond"/>
          <w:b/>
          <w:bCs/>
        </w:rPr>
        <w:t>3</w:t>
      </w:r>
      <w:r w:rsidRPr="00DF448E">
        <w:rPr>
          <w:rFonts w:ascii="Garamond" w:hAnsi="Garamond"/>
          <w:b/>
          <w:bCs/>
        </w:rPr>
        <w:t>: Introduce possibility for including more than one target cells in LTM Cell Switch Command MAC CE format.</w:t>
      </w:r>
    </w:p>
    <w:p w14:paraId="12BE61B5" w14:textId="64F4A7DB" w:rsidR="00186E9F" w:rsidRDefault="00DF448E" w:rsidP="00DF448E">
      <w:pPr>
        <w:rPr>
          <w:rFonts w:ascii="Garamond" w:hAnsi="Garamond"/>
          <w:b/>
          <w:bCs/>
        </w:rPr>
      </w:pPr>
      <w:r w:rsidRPr="00DF448E">
        <w:rPr>
          <w:rFonts w:ascii="Garamond" w:hAnsi="Garamond"/>
          <w:b/>
          <w:bCs/>
        </w:rPr>
        <w:t xml:space="preserve">Proposal </w:t>
      </w:r>
      <w:r w:rsidR="002F7E91">
        <w:rPr>
          <w:rFonts w:ascii="Garamond" w:hAnsi="Garamond"/>
          <w:b/>
          <w:bCs/>
        </w:rPr>
        <w:t>4</w:t>
      </w:r>
      <w:r w:rsidRPr="00DF448E">
        <w:rPr>
          <w:rFonts w:ascii="Garamond" w:hAnsi="Garamond"/>
          <w:b/>
          <w:bCs/>
        </w:rPr>
        <w:t>: RAN2 to discuss appropriate bit-length for candidate cell index and ensure that the index is allocated randomly.</w:t>
      </w:r>
    </w:p>
    <w:p w14:paraId="6A908334" w14:textId="77777777" w:rsidR="0043506E" w:rsidRPr="00BD2912" w:rsidRDefault="0043506E" w:rsidP="0043506E">
      <w:pPr>
        <w:pStyle w:val="Proposal"/>
        <w:numPr>
          <w:ilvl w:val="0"/>
          <w:numId w:val="0"/>
        </w:numPr>
        <w:rPr>
          <w:rFonts w:ascii="Garamond" w:hAnsi="Garamond"/>
          <w:sz w:val="28"/>
          <w:szCs w:val="28"/>
          <w:u w:val="single"/>
        </w:rPr>
      </w:pPr>
      <w:r w:rsidRPr="00BD2912">
        <w:rPr>
          <w:rFonts w:ascii="Garamond" w:hAnsi="Garamond"/>
          <w:sz w:val="28"/>
          <w:szCs w:val="28"/>
          <w:u w:val="single"/>
        </w:rPr>
        <w:t>Arrival announcement on the Target cell</w:t>
      </w:r>
    </w:p>
    <w:p w14:paraId="18D85C9F" w14:textId="7D216ED5" w:rsidR="00E62C28" w:rsidRDefault="00E62C28" w:rsidP="00DF448E">
      <w:pPr>
        <w:rPr>
          <w:rFonts w:ascii="Garamond" w:hAnsi="Garamond"/>
          <w:b/>
          <w:bCs/>
        </w:rPr>
      </w:pPr>
      <w:r>
        <w:rPr>
          <w:rFonts w:ascii="Garamond" w:hAnsi="Garamond"/>
          <w:b/>
          <w:bCs/>
        </w:rPr>
        <w:t xml:space="preserve">Proposal 5: </w:t>
      </w:r>
      <w:r w:rsidRPr="00E62C28">
        <w:rPr>
          <w:rFonts w:ascii="Garamond" w:hAnsi="Garamond"/>
          <w:b/>
          <w:bCs/>
        </w:rPr>
        <w:t>UE determines that the target cell has received handover completion message if a PDCCH addressed to C-RNTI indicating uplink grant for a new transmission is received for the HARQ process used for the transmission of the handover completion message</w:t>
      </w:r>
      <w:r w:rsidR="00AA5279">
        <w:rPr>
          <w:rFonts w:ascii="Garamond" w:hAnsi="Garamond"/>
          <w:b/>
          <w:bCs/>
        </w:rPr>
        <w:t>.</w:t>
      </w:r>
    </w:p>
    <w:p w14:paraId="06A5E9FA" w14:textId="65B7A754" w:rsidR="006C5022" w:rsidRPr="00DF448E" w:rsidRDefault="006C5022" w:rsidP="00DF448E">
      <w:pPr>
        <w:rPr>
          <w:rFonts w:ascii="Garamond" w:hAnsi="Garamond"/>
          <w:b/>
          <w:bCs/>
        </w:rPr>
      </w:pPr>
      <w:r>
        <w:rPr>
          <w:rFonts w:ascii="Garamond" w:hAnsi="Garamond"/>
          <w:b/>
          <w:bCs/>
        </w:rPr>
        <w:t xml:space="preserve">Proposal 6: </w:t>
      </w:r>
      <w:r w:rsidRPr="006C5022">
        <w:rPr>
          <w:rFonts w:ascii="Garamond" w:hAnsi="Garamond"/>
          <w:b/>
          <w:bCs/>
        </w:rPr>
        <w:t>If uplink grant for a new transmission is for a HARQ process Id different from one used for the transmission of the handover completion message, UE shall use the grant to transmit a C-RNTI MAC CE, where RNTI is the one allocated by the intended target cell.</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600C490E" w14:textId="58F5590E" w:rsidR="003E4A18" w:rsidRDefault="000E2258" w:rsidP="00A662DC">
      <w:pPr>
        <w:rPr>
          <w:rFonts w:ascii="Garamond" w:hAnsi="Garamond"/>
          <w:sz w:val="18"/>
          <w:szCs w:val="18"/>
        </w:rPr>
      </w:pPr>
      <w:r w:rsidRPr="000E2258">
        <w:rPr>
          <w:rFonts w:ascii="Garamond" w:hAnsi="Garamond"/>
          <w:sz w:val="18"/>
          <w:szCs w:val="18"/>
        </w:rPr>
        <w:t xml:space="preserve">[1]: </w:t>
      </w:r>
      <w:r w:rsidR="00DA37BB" w:rsidRPr="00DA37BB">
        <w:rPr>
          <w:rFonts w:ascii="Garamond" w:hAnsi="Garamond"/>
          <w:sz w:val="18"/>
          <w:szCs w:val="18"/>
        </w:rPr>
        <w:t>[Post123][</w:t>
      </w:r>
      <w:proofErr w:type="gramStart"/>
      <w:r w:rsidR="00DA37BB" w:rsidRPr="00DA37BB">
        <w:rPr>
          <w:rFonts w:ascii="Garamond" w:hAnsi="Garamond"/>
          <w:sz w:val="18"/>
          <w:szCs w:val="18"/>
        </w:rPr>
        <w:t>056][</w:t>
      </w:r>
      <w:proofErr w:type="spellStart"/>
      <w:proofErr w:type="gramEnd"/>
      <w:r w:rsidR="00DA37BB" w:rsidRPr="00DA37BB">
        <w:rPr>
          <w:rFonts w:ascii="Garamond" w:hAnsi="Garamond"/>
          <w:sz w:val="18"/>
          <w:szCs w:val="18"/>
        </w:rPr>
        <w:t>feMob</w:t>
      </w:r>
      <w:proofErr w:type="spellEnd"/>
      <w:r w:rsidR="00DA37BB" w:rsidRPr="00DA37BB">
        <w:rPr>
          <w:rFonts w:ascii="Garamond" w:hAnsi="Garamond"/>
          <w:sz w:val="18"/>
          <w:szCs w:val="18"/>
        </w:rPr>
        <w:t>] LTM Running CR RRC (Ericsson)</w:t>
      </w:r>
    </w:p>
    <w:p w14:paraId="57666273" w14:textId="16E8BCE9" w:rsidR="00DA37BB" w:rsidRPr="000E2258" w:rsidRDefault="00DA37BB" w:rsidP="00A662DC">
      <w:pPr>
        <w:rPr>
          <w:rFonts w:ascii="Garamond" w:hAnsi="Garamond"/>
          <w:sz w:val="18"/>
          <w:szCs w:val="18"/>
        </w:rPr>
      </w:pPr>
      <w:r>
        <w:rPr>
          <w:rFonts w:ascii="Garamond" w:hAnsi="Garamond"/>
          <w:sz w:val="18"/>
          <w:szCs w:val="18"/>
        </w:rPr>
        <w:t xml:space="preserve">[2]: </w:t>
      </w:r>
      <w:r w:rsidRPr="00DA37BB">
        <w:rPr>
          <w:rFonts w:ascii="Garamond" w:hAnsi="Garamond"/>
          <w:sz w:val="18"/>
          <w:szCs w:val="18"/>
        </w:rPr>
        <w:t>[Post123][</w:t>
      </w:r>
      <w:proofErr w:type="gramStart"/>
      <w:r w:rsidRPr="00DA37BB">
        <w:rPr>
          <w:rFonts w:ascii="Garamond" w:hAnsi="Garamond"/>
          <w:sz w:val="18"/>
          <w:szCs w:val="18"/>
        </w:rPr>
        <w:t>055][</w:t>
      </w:r>
      <w:proofErr w:type="spellStart"/>
      <w:proofErr w:type="gramEnd"/>
      <w:r w:rsidRPr="00DA37BB">
        <w:rPr>
          <w:rFonts w:ascii="Garamond" w:hAnsi="Garamond"/>
          <w:sz w:val="18"/>
          <w:szCs w:val="18"/>
        </w:rPr>
        <w:t>feMob</w:t>
      </w:r>
      <w:proofErr w:type="spellEnd"/>
      <w:r w:rsidRPr="00DA37BB">
        <w:rPr>
          <w:rFonts w:ascii="Garamond" w:hAnsi="Garamond"/>
          <w:sz w:val="18"/>
          <w:szCs w:val="18"/>
        </w:rPr>
        <w:t>] Running CR 38321 (Huawei)</w:t>
      </w:r>
    </w:p>
    <w:sectPr w:rsidR="00DA37BB"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6CF1C" w14:textId="77777777" w:rsidR="00812F84" w:rsidRDefault="00812F84" w:rsidP="00FC6453">
      <w:pPr>
        <w:spacing w:after="0" w:line="240" w:lineRule="auto"/>
      </w:pPr>
      <w:r>
        <w:separator/>
      </w:r>
    </w:p>
  </w:endnote>
  <w:endnote w:type="continuationSeparator" w:id="0">
    <w:p w14:paraId="1323C243" w14:textId="77777777" w:rsidR="00812F84" w:rsidRDefault="00812F84"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60ED" w14:textId="77777777" w:rsidR="00812F84" w:rsidRDefault="00812F84" w:rsidP="00FC6453">
      <w:pPr>
        <w:spacing w:after="0" w:line="240" w:lineRule="auto"/>
      </w:pPr>
      <w:r>
        <w:separator/>
      </w:r>
    </w:p>
  </w:footnote>
  <w:footnote w:type="continuationSeparator" w:id="0">
    <w:p w14:paraId="55A584E3" w14:textId="77777777" w:rsidR="00812F84" w:rsidRDefault="00812F84"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B28243F"/>
    <w:multiLevelType w:val="hybridMultilevel"/>
    <w:tmpl w:val="19CACB1A"/>
    <w:lvl w:ilvl="0" w:tplc="606ED4E0">
      <w:start w:val="2"/>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82654A"/>
    <w:multiLevelType w:val="hybridMultilevel"/>
    <w:tmpl w:val="F5EAA7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5621DD8"/>
    <w:multiLevelType w:val="hybridMultilevel"/>
    <w:tmpl w:val="A77CE3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16cid:durableId="1327587736">
    <w:abstractNumId w:val="1"/>
  </w:num>
  <w:num w:numId="2" w16cid:durableId="1647931465">
    <w:abstractNumId w:val="5"/>
  </w:num>
  <w:num w:numId="3" w16cid:durableId="14693428">
    <w:abstractNumId w:val="8"/>
  </w:num>
  <w:num w:numId="4" w16cid:durableId="1516113577">
    <w:abstractNumId w:val="14"/>
  </w:num>
  <w:num w:numId="5" w16cid:durableId="1298679397">
    <w:abstractNumId w:val="4"/>
  </w:num>
  <w:num w:numId="6" w16cid:durableId="1529833889">
    <w:abstractNumId w:val="7"/>
  </w:num>
  <w:num w:numId="7" w16cid:durableId="446319874">
    <w:abstractNumId w:val="10"/>
  </w:num>
  <w:num w:numId="8" w16cid:durableId="321351574">
    <w:abstractNumId w:val="0"/>
  </w:num>
  <w:num w:numId="9" w16cid:durableId="791096385">
    <w:abstractNumId w:val="11"/>
  </w:num>
  <w:num w:numId="10" w16cid:durableId="1470173548">
    <w:abstractNumId w:val="9"/>
  </w:num>
  <w:num w:numId="11" w16cid:durableId="287275188">
    <w:abstractNumId w:val="2"/>
  </w:num>
  <w:num w:numId="12" w16cid:durableId="122846760">
    <w:abstractNumId w:val="5"/>
    <w:lvlOverride w:ilvl="0">
      <w:startOverride w:val="1"/>
    </w:lvlOverride>
  </w:num>
  <w:num w:numId="13" w16cid:durableId="201284771">
    <w:abstractNumId w:val="5"/>
  </w:num>
  <w:num w:numId="14" w16cid:durableId="1628662700">
    <w:abstractNumId w:val="5"/>
  </w:num>
  <w:num w:numId="15" w16cid:durableId="1856921372">
    <w:abstractNumId w:val="5"/>
  </w:num>
  <w:num w:numId="16" w16cid:durableId="1401101901">
    <w:abstractNumId w:val="5"/>
  </w:num>
  <w:num w:numId="17" w16cid:durableId="121660746">
    <w:abstractNumId w:val="3"/>
  </w:num>
  <w:num w:numId="18" w16cid:durableId="2026596462">
    <w:abstractNumId w:val="5"/>
  </w:num>
  <w:num w:numId="19" w16cid:durableId="1944070501">
    <w:abstractNumId w:val="5"/>
  </w:num>
  <w:num w:numId="20" w16cid:durableId="1438792410">
    <w:abstractNumId w:val="5"/>
  </w:num>
  <w:num w:numId="21" w16cid:durableId="1298799032">
    <w:abstractNumId w:val="13"/>
  </w:num>
  <w:num w:numId="22" w16cid:durableId="1068303452">
    <w:abstractNumId w:val="5"/>
  </w:num>
  <w:num w:numId="23" w16cid:durableId="1985037566">
    <w:abstractNumId w:val="15"/>
  </w:num>
  <w:num w:numId="24" w16cid:durableId="1537351992">
    <w:abstractNumId w:val="16"/>
  </w:num>
  <w:num w:numId="25" w16cid:durableId="1048531898">
    <w:abstractNumId w:val="6"/>
  </w:num>
  <w:num w:numId="26" w16cid:durableId="1697003180">
    <w:abstractNumId w:val="5"/>
  </w:num>
  <w:num w:numId="27" w16cid:durableId="1567379928">
    <w:abstractNumId w:val="5"/>
  </w:num>
  <w:num w:numId="28" w16cid:durableId="35392335">
    <w:abstractNumId w:val="5"/>
  </w:num>
  <w:num w:numId="29" w16cid:durableId="1012150415">
    <w:abstractNumId w:val="5"/>
  </w:num>
  <w:num w:numId="30" w16cid:durableId="823812305">
    <w:abstractNumId w:val="5"/>
  </w:num>
  <w:num w:numId="31" w16cid:durableId="1482622572">
    <w:abstractNumId w:val="12"/>
  </w:num>
  <w:num w:numId="32" w16cid:durableId="1459225071">
    <w:abstractNumId w:val="5"/>
  </w:num>
  <w:num w:numId="33" w16cid:durableId="935983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1E69"/>
    <w:rsid w:val="000046B5"/>
    <w:rsid w:val="0000648A"/>
    <w:rsid w:val="00007DF2"/>
    <w:rsid w:val="0001114C"/>
    <w:rsid w:val="000132AB"/>
    <w:rsid w:val="00013840"/>
    <w:rsid w:val="00016B2C"/>
    <w:rsid w:val="000175BB"/>
    <w:rsid w:val="000202D7"/>
    <w:rsid w:val="000221A1"/>
    <w:rsid w:val="00027C7A"/>
    <w:rsid w:val="000316E0"/>
    <w:rsid w:val="00031999"/>
    <w:rsid w:val="000338BB"/>
    <w:rsid w:val="00035774"/>
    <w:rsid w:val="00037EC7"/>
    <w:rsid w:val="0004505D"/>
    <w:rsid w:val="00052297"/>
    <w:rsid w:val="00052579"/>
    <w:rsid w:val="000601F6"/>
    <w:rsid w:val="0006170C"/>
    <w:rsid w:val="000653C0"/>
    <w:rsid w:val="000711AF"/>
    <w:rsid w:val="00072F36"/>
    <w:rsid w:val="00075383"/>
    <w:rsid w:val="00080F2A"/>
    <w:rsid w:val="00081570"/>
    <w:rsid w:val="00082C7A"/>
    <w:rsid w:val="000834A2"/>
    <w:rsid w:val="00084A01"/>
    <w:rsid w:val="00084F84"/>
    <w:rsid w:val="00090826"/>
    <w:rsid w:val="00094C5A"/>
    <w:rsid w:val="000A165E"/>
    <w:rsid w:val="000A2BB0"/>
    <w:rsid w:val="000A4C8B"/>
    <w:rsid w:val="000A5B84"/>
    <w:rsid w:val="000A6F76"/>
    <w:rsid w:val="000B3AE7"/>
    <w:rsid w:val="000B4CB9"/>
    <w:rsid w:val="000B4DCA"/>
    <w:rsid w:val="000B5090"/>
    <w:rsid w:val="000B7436"/>
    <w:rsid w:val="000C124B"/>
    <w:rsid w:val="000C1C12"/>
    <w:rsid w:val="000C20BA"/>
    <w:rsid w:val="000D6918"/>
    <w:rsid w:val="000E2258"/>
    <w:rsid w:val="000E38D0"/>
    <w:rsid w:val="000E4A50"/>
    <w:rsid w:val="000E6A78"/>
    <w:rsid w:val="000F31EF"/>
    <w:rsid w:val="00104A7C"/>
    <w:rsid w:val="00104D48"/>
    <w:rsid w:val="0011313A"/>
    <w:rsid w:val="00113BC6"/>
    <w:rsid w:val="00114197"/>
    <w:rsid w:val="001211AA"/>
    <w:rsid w:val="00122909"/>
    <w:rsid w:val="001243B1"/>
    <w:rsid w:val="00124CEF"/>
    <w:rsid w:val="00125688"/>
    <w:rsid w:val="001337B8"/>
    <w:rsid w:val="00133BAB"/>
    <w:rsid w:val="001349C1"/>
    <w:rsid w:val="00135446"/>
    <w:rsid w:val="0013580E"/>
    <w:rsid w:val="00135D25"/>
    <w:rsid w:val="0014176E"/>
    <w:rsid w:val="0014437B"/>
    <w:rsid w:val="00155AAA"/>
    <w:rsid w:val="00156033"/>
    <w:rsid w:val="00160140"/>
    <w:rsid w:val="001611F1"/>
    <w:rsid w:val="00165DC3"/>
    <w:rsid w:val="0016729E"/>
    <w:rsid w:val="001676A5"/>
    <w:rsid w:val="001716EA"/>
    <w:rsid w:val="0017228D"/>
    <w:rsid w:val="00172899"/>
    <w:rsid w:val="0017502D"/>
    <w:rsid w:val="00176E24"/>
    <w:rsid w:val="00180B0E"/>
    <w:rsid w:val="00182238"/>
    <w:rsid w:val="00182CD2"/>
    <w:rsid w:val="00186728"/>
    <w:rsid w:val="00186A4B"/>
    <w:rsid w:val="00186DB4"/>
    <w:rsid w:val="00186E9F"/>
    <w:rsid w:val="001878EC"/>
    <w:rsid w:val="001921A2"/>
    <w:rsid w:val="001945DD"/>
    <w:rsid w:val="001A065E"/>
    <w:rsid w:val="001A12DE"/>
    <w:rsid w:val="001A3916"/>
    <w:rsid w:val="001A547E"/>
    <w:rsid w:val="001A6BB3"/>
    <w:rsid w:val="001B219E"/>
    <w:rsid w:val="001B3499"/>
    <w:rsid w:val="001C2F13"/>
    <w:rsid w:val="001C317D"/>
    <w:rsid w:val="001C7368"/>
    <w:rsid w:val="001C791C"/>
    <w:rsid w:val="001C7BF0"/>
    <w:rsid w:val="001C7CC0"/>
    <w:rsid w:val="001D4572"/>
    <w:rsid w:val="001D584A"/>
    <w:rsid w:val="001E50D4"/>
    <w:rsid w:val="001E53FE"/>
    <w:rsid w:val="001E7CD5"/>
    <w:rsid w:val="001F1A9F"/>
    <w:rsid w:val="001F29F3"/>
    <w:rsid w:val="001F657F"/>
    <w:rsid w:val="002014B3"/>
    <w:rsid w:val="00201EAC"/>
    <w:rsid w:val="00206630"/>
    <w:rsid w:val="00206E9B"/>
    <w:rsid w:val="00207C74"/>
    <w:rsid w:val="0021010E"/>
    <w:rsid w:val="002148C1"/>
    <w:rsid w:val="0021733E"/>
    <w:rsid w:val="002176FF"/>
    <w:rsid w:val="00221509"/>
    <w:rsid w:val="00224828"/>
    <w:rsid w:val="002268C7"/>
    <w:rsid w:val="00231E44"/>
    <w:rsid w:val="002325AD"/>
    <w:rsid w:val="00233B00"/>
    <w:rsid w:val="0023735A"/>
    <w:rsid w:val="00237E9C"/>
    <w:rsid w:val="002406A8"/>
    <w:rsid w:val="00240C64"/>
    <w:rsid w:val="00241C77"/>
    <w:rsid w:val="00241D01"/>
    <w:rsid w:val="00241F98"/>
    <w:rsid w:val="00242FBB"/>
    <w:rsid w:val="00244748"/>
    <w:rsid w:val="00245C60"/>
    <w:rsid w:val="00245E00"/>
    <w:rsid w:val="0024657D"/>
    <w:rsid w:val="00247E40"/>
    <w:rsid w:val="00251244"/>
    <w:rsid w:val="00255647"/>
    <w:rsid w:val="00255DD3"/>
    <w:rsid w:val="0026239B"/>
    <w:rsid w:val="00263076"/>
    <w:rsid w:val="002676D2"/>
    <w:rsid w:val="0027067B"/>
    <w:rsid w:val="00276A24"/>
    <w:rsid w:val="00277F61"/>
    <w:rsid w:val="00280E9E"/>
    <w:rsid w:val="002872A8"/>
    <w:rsid w:val="002876E7"/>
    <w:rsid w:val="002911BB"/>
    <w:rsid w:val="00291588"/>
    <w:rsid w:val="00292B4F"/>
    <w:rsid w:val="00293DAC"/>
    <w:rsid w:val="00294665"/>
    <w:rsid w:val="00294917"/>
    <w:rsid w:val="00295858"/>
    <w:rsid w:val="0029662A"/>
    <w:rsid w:val="00296A92"/>
    <w:rsid w:val="002A22C9"/>
    <w:rsid w:val="002A2ECD"/>
    <w:rsid w:val="002A4C51"/>
    <w:rsid w:val="002A55D9"/>
    <w:rsid w:val="002A6976"/>
    <w:rsid w:val="002B003A"/>
    <w:rsid w:val="002B4D71"/>
    <w:rsid w:val="002B5A3D"/>
    <w:rsid w:val="002B696D"/>
    <w:rsid w:val="002C1DFE"/>
    <w:rsid w:val="002C3D2D"/>
    <w:rsid w:val="002C5CF1"/>
    <w:rsid w:val="002C5E27"/>
    <w:rsid w:val="002C7BE8"/>
    <w:rsid w:val="002D1DF2"/>
    <w:rsid w:val="002E03EE"/>
    <w:rsid w:val="002E1240"/>
    <w:rsid w:val="002E3235"/>
    <w:rsid w:val="002E3B6C"/>
    <w:rsid w:val="002E5577"/>
    <w:rsid w:val="002E5873"/>
    <w:rsid w:val="002F27C3"/>
    <w:rsid w:val="002F5A69"/>
    <w:rsid w:val="002F699A"/>
    <w:rsid w:val="002F77FC"/>
    <w:rsid w:val="002F7E91"/>
    <w:rsid w:val="00305D41"/>
    <w:rsid w:val="00306A4E"/>
    <w:rsid w:val="00307640"/>
    <w:rsid w:val="003145C8"/>
    <w:rsid w:val="00315622"/>
    <w:rsid w:val="00321BD6"/>
    <w:rsid w:val="00323A02"/>
    <w:rsid w:val="00324F3B"/>
    <w:rsid w:val="003264E8"/>
    <w:rsid w:val="00327096"/>
    <w:rsid w:val="00330E58"/>
    <w:rsid w:val="00332AD8"/>
    <w:rsid w:val="00333090"/>
    <w:rsid w:val="003374AD"/>
    <w:rsid w:val="00346AB2"/>
    <w:rsid w:val="0034738C"/>
    <w:rsid w:val="0035054D"/>
    <w:rsid w:val="00353336"/>
    <w:rsid w:val="00361B8B"/>
    <w:rsid w:val="003644B0"/>
    <w:rsid w:val="00376958"/>
    <w:rsid w:val="00377B24"/>
    <w:rsid w:val="00382C3A"/>
    <w:rsid w:val="00385134"/>
    <w:rsid w:val="00392203"/>
    <w:rsid w:val="00392CE3"/>
    <w:rsid w:val="00393691"/>
    <w:rsid w:val="003962E9"/>
    <w:rsid w:val="0039704D"/>
    <w:rsid w:val="003A32C1"/>
    <w:rsid w:val="003A422B"/>
    <w:rsid w:val="003A6C51"/>
    <w:rsid w:val="003A731B"/>
    <w:rsid w:val="003A7E9A"/>
    <w:rsid w:val="003B1465"/>
    <w:rsid w:val="003C076E"/>
    <w:rsid w:val="003C2A58"/>
    <w:rsid w:val="003C3D22"/>
    <w:rsid w:val="003C6344"/>
    <w:rsid w:val="003C7463"/>
    <w:rsid w:val="003D09B9"/>
    <w:rsid w:val="003D10E6"/>
    <w:rsid w:val="003D1737"/>
    <w:rsid w:val="003D2B38"/>
    <w:rsid w:val="003E0030"/>
    <w:rsid w:val="003E06D5"/>
    <w:rsid w:val="003E1925"/>
    <w:rsid w:val="003E2B71"/>
    <w:rsid w:val="003E3C25"/>
    <w:rsid w:val="003E3F5A"/>
    <w:rsid w:val="003E4A18"/>
    <w:rsid w:val="003E6223"/>
    <w:rsid w:val="003F0463"/>
    <w:rsid w:val="003F1678"/>
    <w:rsid w:val="003F1FB2"/>
    <w:rsid w:val="003F5536"/>
    <w:rsid w:val="004004ED"/>
    <w:rsid w:val="00402305"/>
    <w:rsid w:val="00402721"/>
    <w:rsid w:val="00410779"/>
    <w:rsid w:val="00411ABC"/>
    <w:rsid w:val="004129FB"/>
    <w:rsid w:val="00412CD0"/>
    <w:rsid w:val="00413775"/>
    <w:rsid w:val="004267E0"/>
    <w:rsid w:val="00430987"/>
    <w:rsid w:val="00431D11"/>
    <w:rsid w:val="0043506E"/>
    <w:rsid w:val="00436ECE"/>
    <w:rsid w:val="004412D3"/>
    <w:rsid w:val="00443173"/>
    <w:rsid w:val="00452B28"/>
    <w:rsid w:val="00452D98"/>
    <w:rsid w:val="004537EC"/>
    <w:rsid w:val="00454CD4"/>
    <w:rsid w:val="00455538"/>
    <w:rsid w:val="00455F13"/>
    <w:rsid w:val="00466103"/>
    <w:rsid w:val="00470CFE"/>
    <w:rsid w:val="0047154B"/>
    <w:rsid w:val="00473823"/>
    <w:rsid w:val="00475DF5"/>
    <w:rsid w:val="00480AB5"/>
    <w:rsid w:val="00480B5A"/>
    <w:rsid w:val="00481055"/>
    <w:rsid w:val="00481CE7"/>
    <w:rsid w:val="00484DDA"/>
    <w:rsid w:val="00486034"/>
    <w:rsid w:val="0048627F"/>
    <w:rsid w:val="004869B7"/>
    <w:rsid w:val="004877DB"/>
    <w:rsid w:val="004903CB"/>
    <w:rsid w:val="0049358A"/>
    <w:rsid w:val="00497DF4"/>
    <w:rsid w:val="00497F46"/>
    <w:rsid w:val="004A0C6C"/>
    <w:rsid w:val="004A72C1"/>
    <w:rsid w:val="004B174C"/>
    <w:rsid w:val="004B3DDB"/>
    <w:rsid w:val="004B4468"/>
    <w:rsid w:val="004B458E"/>
    <w:rsid w:val="004B7C91"/>
    <w:rsid w:val="004C2669"/>
    <w:rsid w:val="004C4990"/>
    <w:rsid w:val="004C532C"/>
    <w:rsid w:val="004C7B1C"/>
    <w:rsid w:val="004D1BB9"/>
    <w:rsid w:val="004D21B9"/>
    <w:rsid w:val="004D346B"/>
    <w:rsid w:val="004D45C8"/>
    <w:rsid w:val="004E2DF0"/>
    <w:rsid w:val="004E41EE"/>
    <w:rsid w:val="004E48F7"/>
    <w:rsid w:val="004E6C3E"/>
    <w:rsid w:val="004E7FC1"/>
    <w:rsid w:val="004F0166"/>
    <w:rsid w:val="004F0E74"/>
    <w:rsid w:val="004F14A0"/>
    <w:rsid w:val="004F367B"/>
    <w:rsid w:val="005037F8"/>
    <w:rsid w:val="00506CEF"/>
    <w:rsid w:val="00507030"/>
    <w:rsid w:val="0051361E"/>
    <w:rsid w:val="00515FC5"/>
    <w:rsid w:val="0051762B"/>
    <w:rsid w:val="00521BD3"/>
    <w:rsid w:val="00523D8B"/>
    <w:rsid w:val="00525FBF"/>
    <w:rsid w:val="00531C86"/>
    <w:rsid w:val="00532307"/>
    <w:rsid w:val="005357E6"/>
    <w:rsid w:val="00540952"/>
    <w:rsid w:val="005409CE"/>
    <w:rsid w:val="00540E31"/>
    <w:rsid w:val="005417A6"/>
    <w:rsid w:val="005417D3"/>
    <w:rsid w:val="0054427E"/>
    <w:rsid w:val="00545845"/>
    <w:rsid w:val="005463EB"/>
    <w:rsid w:val="005464B8"/>
    <w:rsid w:val="00546610"/>
    <w:rsid w:val="0054781A"/>
    <w:rsid w:val="0055215E"/>
    <w:rsid w:val="00555CFF"/>
    <w:rsid w:val="00564FF2"/>
    <w:rsid w:val="0057200D"/>
    <w:rsid w:val="00574E91"/>
    <w:rsid w:val="005800D1"/>
    <w:rsid w:val="005815F5"/>
    <w:rsid w:val="005836A3"/>
    <w:rsid w:val="005861DF"/>
    <w:rsid w:val="00591DC0"/>
    <w:rsid w:val="005920C5"/>
    <w:rsid w:val="0059723F"/>
    <w:rsid w:val="005A06E1"/>
    <w:rsid w:val="005A6503"/>
    <w:rsid w:val="005A7ADF"/>
    <w:rsid w:val="005A7FA2"/>
    <w:rsid w:val="005B072C"/>
    <w:rsid w:val="005B22B1"/>
    <w:rsid w:val="005B2F31"/>
    <w:rsid w:val="005B7405"/>
    <w:rsid w:val="005B7C0E"/>
    <w:rsid w:val="005C21DB"/>
    <w:rsid w:val="005C311D"/>
    <w:rsid w:val="005C581A"/>
    <w:rsid w:val="005D55AB"/>
    <w:rsid w:val="005E003D"/>
    <w:rsid w:val="005E09BE"/>
    <w:rsid w:val="005E301C"/>
    <w:rsid w:val="005E4124"/>
    <w:rsid w:val="005F51BD"/>
    <w:rsid w:val="005F76F8"/>
    <w:rsid w:val="00605594"/>
    <w:rsid w:val="0060657D"/>
    <w:rsid w:val="00606E12"/>
    <w:rsid w:val="00607A1C"/>
    <w:rsid w:val="00607DE8"/>
    <w:rsid w:val="006101BA"/>
    <w:rsid w:val="00611D6C"/>
    <w:rsid w:val="0061405D"/>
    <w:rsid w:val="0061679A"/>
    <w:rsid w:val="00622BDB"/>
    <w:rsid w:val="006246DC"/>
    <w:rsid w:val="00630420"/>
    <w:rsid w:val="006305A0"/>
    <w:rsid w:val="00630DF5"/>
    <w:rsid w:val="00630E9F"/>
    <w:rsid w:val="00640DCF"/>
    <w:rsid w:val="00642B89"/>
    <w:rsid w:val="0064349F"/>
    <w:rsid w:val="00647426"/>
    <w:rsid w:val="00654BEE"/>
    <w:rsid w:val="0065544D"/>
    <w:rsid w:val="00657CA7"/>
    <w:rsid w:val="00665C1E"/>
    <w:rsid w:val="00666848"/>
    <w:rsid w:val="00666D5E"/>
    <w:rsid w:val="00671992"/>
    <w:rsid w:val="00671B79"/>
    <w:rsid w:val="00674196"/>
    <w:rsid w:val="006741BA"/>
    <w:rsid w:val="00686137"/>
    <w:rsid w:val="00687224"/>
    <w:rsid w:val="0069176D"/>
    <w:rsid w:val="0069202C"/>
    <w:rsid w:val="00692EF4"/>
    <w:rsid w:val="00695FC8"/>
    <w:rsid w:val="0069755E"/>
    <w:rsid w:val="006A0224"/>
    <w:rsid w:val="006A448B"/>
    <w:rsid w:val="006B1AD8"/>
    <w:rsid w:val="006B2C55"/>
    <w:rsid w:val="006B3496"/>
    <w:rsid w:val="006C092A"/>
    <w:rsid w:val="006C1536"/>
    <w:rsid w:val="006C24AE"/>
    <w:rsid w:val="006C3868"/>
    <w:rsid w:val="006C5022"/>
    <w:rsid w:val="006C5F71"/>
    <w:rsid w:val="006D0714"/>
    <w:rsid w:val="006D0F86"/>
    <w:rsid w:val="006D1347"/>
    <w:rsid w:val="006D293C"/>
    <w:rsid w:val="006D379B"/>
    <w:rsid w:val="006D3E93"/>
    <w:rsid w:val="006E634C"/>
    <w:rsid w:val="006F43D9"/>
    <w:rsid w:val="006F57F6"/>
    <w:rsid w:val="006F5EEC"/>
    <w:rsid w:val="007009DC"/>
    <w:rsid w:val="00700BC8"/>
    <w:rsid w:val="00700C64"/>
    <w:rsid w:val="007022BC"/>
    <w:rsid w:val="00704207"/>
    <w:rsid w:val="007065D9"/>
    <w:rsid w:val="00710217"/>
    <w:rsid w:val="007123BA"/>
    <w:rsid w:val="007126C5"/>
    <w:rsid w:val="007129AD"/>
    <w:rsid w:val="007132C8"/>
    <w:rsid w:val="007141D3"/>
    <w:rsid w:val="00730096"/>
    <w:rsid w:val="00731253"/>
    <w:rsid w:val="00731463"/>
    <w:rsid w:val="00733518"/>
    <w:rsid w:val="00734FF0"/>
    <w:rsid w:val="007402ED"/>
    <w:rsid w:val="00742E3F"/>
    <w:rsid w:val="0074618D"/>
    <w:rsid w:val="00746759"/>
    <w:rsid w:val="00746B52"/>
    <w:rsid w:val="00750D3F"/>
    <w:rsid w:val="00750FCF"/>
    <w:rsid w:val="007549E8"/>
    <w:rsid w:val="00760D69"/>
    <w:rsid w:val="00761D1B"/>
    <w:rsid w:val="007634DD"/>
    <w:rsid w:val="0076641C"/>
    <w:rsid w:val="00766611"/>
    <w:rsid w:val="007669F7"/>
    <w:rsid w:val="00770BE4"/>
    <w:rsid w:val="00771B6C"/>
    <w:rsid w:val="00776A56"/>
    <w:rsid w:val="00782194"/>
    <w:rsid w:val="007828DA"/>
    <w:rsid w:val="00783889"/>
    <w:rsid w:val="00784908"/>
    <w:rsid w:val="00784D65"/>
    <w:rsid w:val="007873E2"/>
    <w:rsid w:val="00787D39"/>
    <w:rsid w:val="007903AE"/>
    <w:rsid w:val="00790F83"/>
    <w:rsid w:val="00794482"/>
    <w:rsid w:val="007A4503"/>
    <w:rsid w:val="007A45FC"/>
    <w:rsid w:val="007B2269"/>
    <w:rsid w:val="007B326C"/>
    <w:rsid w:val="007B3F8E"/>
    <w:rsid w:val="007B41CA"/>
    <w:rsid w:val="007B51FC"/>
    <w:rsid w:val="007B5BAB"/>
    <w:rsid w:val="007B6B92"/>
    <w:rsid w:val="007C4AB1"/>
    <w:rsid w:val="007C6053"/>
    <w:rsid w:val="007C7541"/>
    <w:rsid w:val="007C75DE"/>
    <w:rsid w:val="007D184E"/>
    <w:rsid w:val="007D2358"/>
    <w:rsid w:val="007D3A15"/>
    <w:rsid w:val="007E36D4"/>
    <w:rsid w:val="007E382F"/>
    <w:rsid w:val="007E384C"/>
    <w:rsid w:val="007F0388"/>
    <w:rsid w:val="007F1B33"/>
    <w:rsid w:val="007F6CA4"/>
    <w:rsid w:val="00804570"/>
    <w:rsid w:val="00805D36"/>
    <w:rsid w:val="00806C58"/>
    <w:rsid w:val="00812A02"/>
    <w:rsid w:val="00812F84"/>
    <w:rsid w:val="008145CA"/>
    <w:rsid w:val="008178C2"/>
    <w:rsid w:val="0082133D"/>
    <w:rsid w:val="00821D26"/>
    <w:rsid w:val="008237DD"/>
    <w:rsid w:val="00825922"/>
    <w:rsid w:val="00834F0F"/>
    <w:rsid w:val="0084005A"/>
    <w:rsid w:val="00841BFB"/>
    <w:rsid w:val="0084583A"/>
    <w:rsid w:val="00850A43"/>
    <w:rsid w:val="008522EB"/>
    <w:rsid w:val="00854030"/>
    <w:rsid w:val="00863776"/>
    <w:rsid w:val="0086405A"/>
    <w:rsid w:val="00864147"/>
    <w:rsid w:val="0086599E"/>
    <w:rsid w:val="008666B6"/>
    <w:rsid w:val="008708F5"/>
    <w:rsid w:val="00875528"/>
    <w:rsid w:val="00875705"/>
    <w:rsid w:val="00877A18"/>
    <w:rsid w:val="00884829"/>
    <w:rsid w:val="008904AD"/>
    <w:rsid w:val="0089105E"/>
    <w:rsid w:val="008A0336"/>
    <w:rsid w:val="008A1EEB"/>
    <w:rsid w:val="008A35EA"/>
    <w:rsid w:val="008A5BBF"/>
    <w:rsid w:val="008B5836"/>
    <w:rsid w:val="008B665C"/>
    <w:rsid w:val="008B722B"/>
    <w:rsid w:val="008C188E"/>
    <w:rsid w:val="008C7136"/>
    <w:rsid w:val="008D068F"/>
    <w:rsid w:val="008D1AE0"/>
    <w:rsid w:val="008D7872"/>
    <w:rsid w:val="008E14F7"/>
    <w:rsid w:val="008E1895"/>
    <w:rsid w:val="008E7A87"/>
    <w:rsid w:val="008F1DD5"/>
    <w:rsid w:val="008F2E6D"/>
    <w:rsid w:val="008F3702"/>
    <w:rsid w:val="008F45D3"/>
    <w:rsid w:val="008F5C83"/>
    <w:rsid w:val="008F7226"/>
    <w:rsid w:val="008F7661"/>
    <w:rsid w:val="008F799D"/>
    <w:rsid w:val="00900668"/>
    <w:rsid w:val="00902B3D"/>
    <w:rsid w:val="00904DF0"/>
    <w:rsid w:val="00911F6C"/>
    <w:rsid w:val="00915DB9"/>
    <w:rsid w:val="009175CF"/>
    <w:rsid w:val="009246C1"/>
    <w:rsid w:val="00924CE4"/>
    <w:rsid w:val="009272E2"/>
    <w:rsid w:val="00934F0E"/>
    <w:rsid w:val="00935B9D"/>
    <w:rsid w:val="00941707"/>
    <w:rsid w:val="00942490"/>
    <w:rsid w:val="009458EE"/>
    <w:rsid w:val="00945E90"/>
    <w:rsid w:val="00946559"/>
    <w:rsid w:val="00954990"/>
    <w:rsid w:val="00954FD5"/>
    <w:rsid w:val="0095696E"/>
    <w:rsid w:val="00960A79"/>
    <w:rsid w:val="00960B44"/>
    <w:rsid w:val="0096378B"/>
    <w:rsid w:val="009653CF"/>
    <w:rsid w:val="0097236D"/>
    <w:rsid w:val="00973E83"/>
    <w:rsid w:val="00973E92"/>
    <w:rsid w:val="00973F26"/>
    <w:rsid w:val="009773A5"/>
    <w:rsid w:val="00980F19"/>
    <w:rsid w:val="00981D17"/>
    <w:rsid w:val="009829CD"/>
    <w:rsid w:val="00983E2B"/>
    <w:rsid w:val="009856B8"/>
    <w:rsid w:val="00992A9A"/>
    <w:rsid w:val="009A20CB"/>
    <w:rsid w:val="009A267E"/>
    <w:rsid w:val="009A47C0"/>
    <w:rsid w:val="009B0E1E"/>
    <w:rsid w:val="009B3F8D"/>
    <w:rsid w:val="009B6915"/>
    <w:rsid w:val="009B7DC6"/>
    <w:rsid w:val="009C2241"/>
    <w:rsid w:val="009C34BF"/>
    <w:rsid w:val="009C40EB"/>
    <w:rsid w:val="009C73BB"/>
    <w:rsid w:val="009D1821"/>
    <w:rsid w:val="009D280E"/>
    <w:rsid w:val="009D37B4"/>
    <w:rsid w:val="009D4859"/>
    <w:rsid w:val="009E046D"/>
    <w:rsid w:val="009E1EF8"/>
    <w:rsid w:val="009E298B"/>
    <w:rsid w:val="009E3887"/>
    <w:rsid w:val="009F0497"/>
    <w:rsid w:val="009F1905"/>
    <w:rsid w:val="009F3C1D"/>
    <w:rsid w:val="009F554A"/>
    <w:rsid w:val="009F692C"/>
    <w:rsid w:val="009F6F3F"/>
    <w:rsid w:val="00A002DF"/>
    <w:rsid w:val="00A01E52"/>
    <w:rsid w:val="00A022CC"/>
    <w:rsid w:val="00A031AF"/>
    <w:rsid w:val="00A03D7D"/>
    <w:rsid w:val="00A04BF8"/>
    <w:rsid w:val="00A06ABA"/>
    <w:rsid w:val="00A07924"/>
    <w:rsid w:val="00A13980"/>
    <w:rsid w:val="00A14128"/>
    <w:rsid w:val="00A21180"/>
    <w:rsid w:val="00A22809"/>
    <w:rsid w:val="00A25C10"/>
    <w:rsid w:val="00A310E1"/>
    <w:rsid w:val="00A31EC7"/>
    <w:rsid w:val="00A33918"/>
    <w:rsid w:val="00A359FD"/>
    <w:rsid w:val="00A36201"/>
    <w:rsid w:val="00A4033E"/>
    <w:rsid w:val="00A43ABA"/>
    <w:rsid w:val="00A455D1"/>
    <w:rsid w:val="00A5012C"/>
    <w:rsid w:val="00A56B42"/>
    <w:rsid w:val="00A6131F"/>
    <w:rsid w:val="00A62E72"/>
    <w:rsid w:val="00A62F0D"/>
    <w:rsid w:val="00A662DC"/>
    <w:rsid w:val="00A673D7"/>
    <w:rsid w:val="00A71ABE"/>
    <w:rsid w:val="00A7299E"/>
    <w:rsid w:val="00A760D0"/>
    <w:rsid w:val="00A90ACD"/>
    <w:rsid w:val="00A92D82"/>
    <w:rsid w:val="00A948BC"/>
    <w:rsid w:val="00A94B12"/>
    <w:rsid w:val="00A96D5E"/>
    <w:rsid w:val="00A972B3"/>
    <w:rsid w:val="00AA5279"/>
    <w:rsid w:val="00AA72BF"/>
    <w:rsid w:val="00AB62E7"/>
    <w:rsid w:val="00AC07F2"/>
    <w:rsid w:val="00AC1397"/>
    <w:rsid w:val="00AC2A90"/>
    <w:rsid w:val="00AC4BE0"/>
    <w:rsid w:val="00AC4D21"/>
    <w:rsid w:val="00AC5B27"/>
    <w:rsid w:val="00AD04BB"/>
    <w:rsid w:val="00AD5884"/>
    <w:rsid w:val="00AD7C63"/>
    <w:rsid w:val="00AE0787"/>
    <w:rsid w:val="00AE1FF9"/>
    <w:rsid w:val="00AE2AE9"/>
    <w:rsid w:val="00AE6FD9"/>
    <w:rsid w:val="00AE74BE"/>
    <w:rsid w:val="00AE79A9"/>
    <w:rsid w:val="00AF2733"/>
    <w:rsid w:val="00AF6119"/>
    <w:rsid w:val="00B0207E"/>
    <w:rsid w:val="00B03158"/>
    <w:rsid w:val="00B0359E"/>
    <w:rsid w:val="00B06776"/>
    <w:rsid w:val="00B06963"/>
    <w:rsid w:val="00B12BF3"/>
    <w:rsid w:val="00B13AA5"/>
    <w:rsid w:val="00B14A1C"/>
    <w:rsid w:val="00B2191F"/>
    <w:rsid w:val="00B22907"/>
    <w:rsid w:val="00B22EA4"/>
    <w:rsid w:val="00B23117"/>
    <w:rsid w:val="00B236FD"/>
    <w:rsid w:val="00B26B7E"/>
    <w:rsid w:val="00B2747B"/>
    <w:rsid w:val="00B32353"/>
    <w:rsid w:val="00B3555C"/>
    <w:rsid w:val="00B35AF2"/>
    <w:rsid w:val="00B37A3A"/>
    <w:rsid w:val="00B40D6D"/>
    <w:rsid w:val="00B464C2"/>
    <w:rsid w:val="00B47449"/>
    <w:rsid w:val="00B563DA"/>
    <w:rsid w:val="00B57445"/>
    <w:rsid w:val="00B57B8B"/>
    <w:rsid w:val="00B65898"/>
    <w:rsid w:val="00B81D64"/>
    <w:rsid w:val="00B83DF4"/>
    <w:rsid w:val="00B861D8"/>
    <w:rsid w:val="00B936CF"/>
    <w:rsid w:val="00BA05C9"/>
    <w:rsid w:val="00BA2636"/>
    <w:rsid w:val="00BA2F77"/>
    <w:rsid w:val="00BA34CC"/>
    <w:rsid w:val="00BA3BF7"/>
    <w:rsid w:val="00BA3E4B"/>
    <w:rsid w:val="00BA7AFE"/>
    <w:rsid w:val="00BB186F"/>
    <w:rsid w:val="00BB1B16"/>
    <w:rsid w:val="00BB4A77"/>
    <w:rsid w:val="00BB5D6A"/>
    <w:rsid w:val="00BB7206"/>
    <w:rsid w:val="00BC0BBC"/>
    <w:rsid w:val="00BC52AC"/>
    <w:rsid w:val="00BD0078"/>
    <w:rsid w:val="00BD0119"/>
    <w:rsid w:val="00BD1BA2"/>
    <w:rsid w:val="00BD2912"/>
    <w:rsid w:val="00BD622F"/>
    <w:rsid w:val="00BE1C4F"/>
    <w:rsid w:val="00BE23F6"/>
    <w:rsid w:val="00BE3D82"/>
    <w:rsid w:val="00BE4038"/>
    <w:rsid w:val="00BE511B"/>
    <w:rsid w:val="00BF0ECE"/>
    <w:rsid w:val="00BF0EF3"/>
    <w:rsid w:val="00BF19A8"/>
    <w:rsid w:val="00BF1E35"/>
    <w:rsid w:val="00BF6A20"/>
    <w:rsid w:val="00C03969"/>
    <w:rsid w:val="00C13809"/>
    <w:rsid w:val="00C1449E"/>
    <w:rsid w:val="00C15B97"/>
    <w:rsid w:val="00C15DAD"/>
    <w:rsid w:val="00C22B77"/>
    <w:rsid w:val="00C250FF"/>
    <w:rsid w:val="00C25320"/>
    <w:rsid w:val="00C313E4"/>
    <w:rsid w:val="00C321C3"/>
    <w:rsid w:val="00C416EA"/>
    <w:rsid w:val="00C441A9"/>
    <w:rsid w:val="00C44E79"/>
    <w:rsid w:val="00C45318"/>
    <w:rsid w:val="00C47A75"/>
    <w:rsid w:val="00C50707"/>
    <w:rsid w:val="00C53394"/>
    <w:rsid w:val="00C561FC"/>
    <w:rsid w:val="00C568AE"/>
    <w:rsid w:val="00C56A2A"/>
    <w:rsid w:val="00C56ECE"/>
    <w:rsid w:val="00C60EB3"/>
    <w:rsid w:val="00C61948"/>
    <w:rsid w:val="00C62093"/>
    <w:rsid w:val="00C62731"/>
    <w:rsid w:val="00C6410A"/>
    <w:rsid w:val="00C64CEA"/>
    <w:rsid w:val="00C6537A"/>
    <w:rsid w:val="00C70BCF"/>
    <w:rsid w:val="00C72854"/>
    <w:rsid w:val="00C73EF7"/>
    <w:rsid w:val="00C77872"/>
    <w:rsid w:val="00C81562"/>
    <w:rsid w:val="00C82476"/>
    <w:rsid w:val="00C854CE"/>
    <w:rsid w:val="00C864DA"/>
    <w:rsid w:val="00C87860"/>
    <w:rsid w:val="00C92DB8"/>
    <w:rsid w:val="00C935B6"/>
    <w:rsid w:val="00C94A04"/>
    <w:rsid w:val="00C9779C"/>
    <w:rsid w:val="00CA121A"/>
    <w:rsid w:val="00CA3317"/>
    <w:rsid w:val="00CA7032"/>
    <w:rsid w:val="00CA70AC"/>
    <w:rsid w:val="00CA7161"/>
    <w:rsid w:val="00CB0862"/>
    <w:rsid w:val="00CB19AA"/>
    <w:rsid w:val="00CB732C"/>
    <w:rsid w:val="00CC6485"/>
    <w:rsid w:val="00CC657E"/>
    <w:rsid w:val="00CD287A"/>
    <w:rsid w:val="00CD4E42"/>
    <w:rsid w:val="00CD5974"/>
    <w:rsid w:val="00CD6A9C"/>
    <w:rsid w:val="00CE14BC"/>
    <w:rsid w:val="00CE28BC"/>
    <w:rsid w:val="00CE3AF5"/>
    <w:rsid w:val="00CE5392"/>
    <w:rsid w:val="00CE5633"/>
    <w:rsid w:val="00CE672E"/>
    <w:rsid w:val="00CE7E47"/>
    <w:rsid w:val="00CF596D"/>
    <w:rsid w:val="00D013E2"/>
    <w:rsid w:val="00D014BC"/>
    <w:rsid w:val="00D01524"/>
    <w:rsid w:val="00D03D47"/>
    <w:rsid w:val="00D04BBA"/>
    <w:rsid w:val="00D057CC"/>
    <w:rsid w:val="00D0583E"/>
    <w:rsid w:val="00D06DAC"/>
    <w:rsid w:val="00D1274C"/>
    <w:rsid w:val="00D1282E"/>
    <w:rsid w:val="00D130AD"/>
    <w:rsid w:val="00D14770"/>
    <w:rsid w:val="00D220A4"/>
    <w:rsid w:val="00D26149"/>
    <w:rsid w:val="00D27132"/>
    <w:rsid w:val="00D32AEE"/>
    <w:rsid w:val="00D338C3"/>
    <w:rsid w:val="00D405C2"/>
    <w:rsid w:val="00D40CED"/>
    <w:rsid w:val="00D419F9"/>
    <w:rsid w:val="00D41CA6"/>
    <w:rsid w:val="00D44C4F"/>
    <w:rsid w:val="00D44FD0"/>
    <w:rsid w:val="00D46415"/>
    <w:rsid w:val="00D4685B"/>
    <w:rsid w:val="00D46CB0"/>
    <w:rsid w:val="00D47BDD"/>
    <w:rsid w:val="00D47D12"/>
    <w:rsid w:val="00D51412"/>
    <w:rsid w:val="00D52446"/>
    <w:rsid w:val="00D57A71"/>
    <w:rsid w:val="00D605DE"/>
    <w:rsid w:val="00D61992"/>
    <w:rsid w:val="00D61B3E"/>
    <w:rsid w:val="00D700F9"/>
    <w:rsid w:val="00D76BD9"/>
    <w:rsid w:val="00D776AB"/>
    <w:rsid w:val="00D82A59"/>
    <w:rsid w:val="00D86440"/>
    <w:rsid w:val="00D9206E"/>
    <w:rsid w:val="00D95138"/>
    <w:rsid w:val="00D97BD8"/>
    <w:rsid w:val="00DA37BB"/>
    <w:rsid w:val="00DA3B4B"/>
    <w:rsid w:val="00DA6BD7"/>
    <w:rsid w:val="00DA7808"/>
    <w:rsid w:val="00DB29B0"/>
    <w:rsid w:val="00DB4348"/>
    <w:rsid w:val="00DB5A04"/>
    <w:rsid w:val="00DB6459"/>
    <w:rsid w:val="00DB7631"/>
    <w:rsid w:val="00DB7AB5"/>
    <w:rsid w:val="00DC3921"/>
    <w:rsid w:val="00DC4C4A"/>
    <w:rsid w:val="00DC5C96"/>
    <w:rsid w:val="00DC61C1"/>
    <w:rsid w:val="00DD2F3B"/>
    <w:rsid w:val="00DD3B00"/>
    <w:rsid w:val="00DE0B2B"/>
    <w:rsid w:val="00DE2F9C"/>
    <w:rsid w:val="00DE7223"/>
    <w:rsid w:val="00DF20A8"/>
    <w:rsid w:val="00DF248A"/>
    <w:rsid w:val="00DF2F12"/>
    <w:rsid w:val="00DF448E"/>
    <w:rsid w:val="00DF5764"/>
    <w:rsid w:val="00DF69EB"/>
    <w:rsid w:val="00DF7AB6"/>
    <w:rsid w:val="00E046DC"/>
    <w:rsid w:val="00E107F8"/>
    <w:rsid w:val="00E1255F"/>
    <w:rsid w:val="00E14101"/>
    <w:rsid w:val="00E1684C"/>
    <w:rsid w:val="00E16972"/>
    <w:rsid w:val="00E21C56"/>
    <w:rsid w:val="00E2544D"/>
    <w:rsid w:val="00E27B57"/>
    <w:rsid w:val="00E30F4C"/>
    <w:rsid w:val="00E310FB"/>
    <w:rsid w:val="00E377FE"/>
    <w:rsid w:val="00E403C3"/>
    <w:rsid w:val="00E40D97"/>
    <w:rsid w:val="00E414DA"/>
    <w:rsid w:val="00E4263F"/>
    <w:rsid w:val="00E503BA"/>
    <w:rsid w:val="00E51219"/>
    <w:rsid w:val="00E54F3D"/>
    <w:rsid w:val="00E56A83"/>
    <w:rsid w:val="00E57908"/>
    <w:rsid w:val="00E60986"/>
    <w:rsid w:val="00E60E26"/>
    <w:rsid w:val="00E62A98"/>
    <w:rsid w:val="00E62C28"/>
    <w:rsid w:val="00E63EFE"/>
    <w:rsid w:val="00E654C7"/>
    <w:rsid w:val="00E714D9"/>
    <w:rsid w:val="00E735A9"/>
    <w:rsid w:val="00E738E1"/>
    <w:rsid w:val="00E73984"/>
    <w:rsid w:val="00E7442C"/>
    <w:rsid w:val="00E74D1F"/>
    <w:rsid w:val="00E75AC8"/>
    <w:rsid w:val="00E77E4A"/>
    <w:rsid w:val="00E84AB8"/>
    <w:rsid w:val="00E85334"/>
    <w:rsid w:val="00E87350"/>
    <w:rsid w:val="00E9215F"/>
    <w:rsid w:val="00E926EA"/>
    <w:rsid w:val="00E938E5"/>
    <w:rsid w:val="00E94044"/>
    <w:rsid w:val="00E94E0D"/>
    <w:rsid w:val="00E96247"/>
    <w:rsid w:val="00E96543"/>
    <w:rsid w:val="00E971B1"/>
    <w:rsid w:val="00EA1A58"/>
    <w:rsid w:val="00EA7A3A"/>
    <w:rsid w:val="00EB0B5D"/>
    <w:rsid w:val="00EB2BDC"/>
    <w:rsid w:val="00EB3F2C"/>
    <w:rsid w:val="00EC2656"/>
    <w:rsid w:val="00EC6245"/>
    <w:rsid w:val="00EC7912"/>
    <w:rsid w:val="00EC7CC3"/>
    <w:rsid w:val="00ED13B1"/>
    <w:rsid w:val="00ED25DC"/>
    <w:rsid w:val="00ED3A29"/>
    <w:rsid w:val="00ED64C7"/>
    <w:rsid w:val="00ED783C"/>
    <w:rsid w:val="00EE0164"/>
    <w:rsid w:val="00EE3388"/>
    <w:rsid w:val="00EE3AFA"/>
    <w:rsid w:val="00EF274B"/>
    <w:rsid w:val="00EF2C55"/>
    <w:rsid w:val="00EF623C"/>
    <w:rsid w:val="00EF6E5A"/>
    <w:rsid w:val="00F04EC8"/>
    <w:rsid w:val="00F051BE"/>
    <w:rsid w:val="00F05EFB"/>
    <w:rsid w:val="00F06C38"/>
    <w:rsid w:val="00F12B41"/>
    <w:rsid w:val="00F15F98"/>
    <w:rsid w:val="00F1744C"/>
    <w:rsid w:val="00F2255F"/>
    <w:rsid w:val="00F235F1"/>
    <w:rsid w:val="00F24EE7"/>
    <w:rsid w:val="00F30019"/>
    <w:rsid w:val="00F30D57"/>
    <w:rsid w:val="00F31004"/>
    <w:rsid w:val="00F31028"/>
    <w:rsid w:val="00F31E3E"/>
    <w:rsid w:val="00F32AF9"/>
    <w:rsid w:val="00F33174"/>
    <w:rsid w:val="00F34D17"/>
    <w:rsid w:val="00F35A09"/>
    <w:rsid w:val="00F3640C"/>
    <w:rsid w:val="00F368AC"/>
    <w:rsid w:val="00F3695A"/>
    <w:rsid w:val="00F3795C"/>
    <w:rsid w:val="00F43C3E"/>
    <w:rsid w:val="00F4462A"/>
    <w:rsid w:val="00F44984"/>
    <w:rsid w:val="00F5420F"/>
    <w:rsid w:val="00F60A3F"/>
    <w:rsid w:val="00F63793"/>
    <w:rsid w:val="00F6771A"/>
    <w:rsid w:val="00F7530D"/>
    <w:rsid w:val="00F85304"/>
    <w:rsid w:val="00F85E21"/>
    <w:rsid w:val="00F92055"/>
    <w:rsid w:val="00F9300A"/>
    <w:rsid w:val="00F95EEE"/>
    <w:rsid w:val="00F966AE"/>
    <w:rsid w:val="00F97F21"/>
    <w:rsid w:val="00FA05CC"/>
    <w:rsid w:val="00FA1243"/>
    <w:rsid w:val="00FA3732"/>
    <w:rsid w:val="00FA511B"/>
    <w:rsid w:val="00FB1BCE"/>
    <w:rsid w:val="00FB2AD6"/>
    <w:rsid w:val="00FB4709"/>
    <w:rsid w:val="00FB5C38"/>
    <w:rsid w:val="00FB6005"/>
    <w:rsid w:val="00FC2B00"/>
    <w:rsid w:val="00FC4CD4"/>
    <w:rsid w:val="00FC6453"/>
    <w:rsid w:val="00FD2EE7"/>
    <w:rsid w:val="00FD523E"/>
    <w:rsid w:val="00FD560A"/>
    <w:rsid w:val="00FE02BE"/>
    <w:rsid w:val="00FE1329"/>
    <w:rsid w:val="00FE1DCE"/>
    <w:rsid w:val="00FE2746"/>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styleId="Revision">
    <w:name w:val="Revision"/>
    <w:hidden/>
    <w:uiPriority w:val="99"/>
    <w:semiHidden/>
    <w:rsid w:val="009246C1"/>
    <w:pPr>
      <w:spacing w:after="0" w:line="240" w:lineRule="auto"/>
    </w:pPr>
  </w:style>
  <w:style w:type="paragraph" w:styleId="NormalWeb">
    <w:name w:val="Normal (Web)"/>
    <w:basedOn w:val="Normal"/>
    <w:uiPriority w:val="99"/>
    <w:qFormat/>
    <w:rsid w:val="000C1C12"/>
    <w:pPr>
      <w:spacing w:before="100" w:beforeAutospacing="1" w:after="100" w:afterAutospacing="1" w:line="240" w:lineRule="auto"/>
    </w:pPr>
    <w:rPr>
      <w:rFonts w:ascii="Arial" w:eastAsia="SimSun" w:hAnsi="Arial" w:cs="Arial"/>
      <w:color w:val="493118"/>
      <w:sz w:val="18"/>
      <w:szCs w:val="18"/>
      <w:lang w:eastAsia="zh-CN"/>
    </w:rPr>
  </w:style>
  <w:style w:type="character" w:customStyle="1" w:styleId="ui-provider">
    <w:name w:val="ui-provider"/>
    <w:basedOn w:val="DefaultParagraphFont"/>
    <w:rsid w:val="00F95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92577514">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10203713">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721203566">
      <w:bodyDiv w:val="1"/>
      <w:marLeft w:val="0"/>
      <w:marRight w:val="0"/>
      <w:marTop w:val="0"/>
      <w:marBottom w:val="0"/>
      <w:divBdr>
        <w:top w:val="none" w:sz="0" w:space="0" w:color="auto"/>
        <w:left w:val="none" w:sz="0" w:space="0" w:color="auto"/>
        <w:bottom w:val="none" w:sz="0" w:space="0" w:color="auto"/>
        <w:right w:val="none" w:sz="0" w:space="0" w:color="auto"/>
      </w:divBdr>
    </w:div>
    <w:div w:id="1812794270">
      <w:bodyDiv w:val="1"/>
      <w:marLeft w:val="0"/>
      <w:marRight w:val="0"/>
      <w:marTop w:val="0"/>
      <w:marBottom w:val="0"/>
      <w:divBdr>
        <w:top w:val="none" w:sz="0" w:space="0" w:color="auto"/>
        <w:left w:val="none" w:sz="0" w:space="0" w:color="auto"/>
        <w:bottom w:val="none" w:sz="0" w:space="0" w:color="auto"/>
        <w:right w:val="none" w:sz="0" w:space="0" w:color="auto"/>
      </w:divBdr>
    </w:div>
    <w:div w:id="1968927315">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05527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Preparation for Cell Switching</vt:lpstr>
      <vt:lpstr>Conclusion</vt:lpstr>
      <vt:lpstr>References</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58</cp:revision>
  <dcterms:created xsi:type="dcterms:W3CDTF">2023-05-12T06:47:00Z</dcterms:created>
  <dcterms:modified xsi:type="dcterms:W3CDTF">2023-09-27T18:59:00Z</dcterms:modified>
</cp:coreProperties>
</file>